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3.xml" ContentType="application/vnd.openxmlformats-officedocument.drawingml.chartshap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530285EB"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2023</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77777777" w:rsidR="00AA7D26" w:rsidRPr="00F93EDF" w:rsidRDefault="00AA7D26" w:rsidP="00AA7D26">
            <w:pPr>
              <w:ind w:left="-107"/>
              <w:outlineLvl w:val="2"/>
              <w:rPr>
                <w:rFonts w:ascii="Tahoma" w:hAnsi="Tahoma" w:cs="Tahoma"/>
                <w:bCs/>
                <w:color w:val="000000"/>
                <w:sz w:val="14"/>
                <w:szCs w:val="14"/>
                <w:lang w:eastAsia="it-IT"/>
              </w:rPr>
            </w:pPr>
            <w:r w:rsidRPr="00F93EDF">
              <w:rPr>
                <w:rFonts w:ascii="Tahoma" w:hAnsi="Tahoma" w:cs="Tahoma"/>
                <w:iCs/>
                <w:color w:val="333333"/>
                <w:sz w:val="14"/>
                <w:szCs w:val="14"/>
                <w:lang w:eastAsia="it-IT"/>
              </w:rPr>
              <w:t>Guest Editors:</w:t>
            </w:r>
            <w:r w:rsidRPr="00F93EDF">
              <w:rPr>
                <w:rFonts w:ascii="Tahoma" w:hAnsi="Tahoma" w:cs="Tahoma"/>
                <w:color w:val="000000"/>
                <w:sz w:val="14"/>
                <w:szCs w:val="14"/>
                <w:shd w:val="clear" w:color="auto" w:fill="FFFFFF"/>
              </w:rPr>
              <w:t xml:space="preserve"> </w:t>
            </w:r>
            <w:r w:rsidRPr="00293D18">
              <w:rPr>
                <w:rFonts w:ascii="Tahoma" w:hAnsi="Tahoma" w:cs="Tahoma"/>
                <w:sz w:val="14"/>
                <w:szCs w:val="14"/>
              </w:rPr>
              <w:t xml:space="preserve">Sauro Pierucci, </w:t>
            </w:r>
            <w:r w:rsidRPr="00293D18">
              <w:rPr>
                <w:rFonts w:ascii="Tahoma" w:hAnsi="Tahoma" w:cs="Tahoma"/>
                <w:sz w:val="14"/>
                <w:szCs w:val="14"/>
                <w:shd w:val="clear" w:color="auto" w:fill="FFFFFF"/>
              </w:rPr>
              <w:t>Jiří Jaromír Klemeš</w:t>
            </w:r>
          </w:p>
          <w:p w14:paraId="1B0F1814" w14:textId="650290B9"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2023</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Pr="000562A9">
              <w:rPr>
                <w:rFonts w:ascii="Tahoma" w:hAnsi="Tahoma" w:cs="Tahoma"/>
                <w:sz w:val="14"/>
                <w:szCs w:val="14"/>
              </w:rPr>
              <w:t>97</w:t>
            </w:r>
            <w:r>
              <w:rPr>
                <w:rFonts w:ascii="Tahoma" w:hAnsi="Tahoma" w:cs="Tahoma"/>
                <w:sz w:val="14"/>
                <w:szCs w:val="14"/>
              </w:rPr>
              <w:t>8</w:t>
            </w:r>
            <w:r w:rsidRPr="000562A9">
              <w:rPr>
                <w:rFonts w:ascii="Tahoma" w:hAnsi="Tahoma" w:cs="Tahoma"/>
                <w:sz w:val="14"/>
                <w:szCs w:val="14"/>
              </w:rPr>
              <w:t>-</w:t>
            </w:r>
            <w:r>
              <w:rPr>
                <w:rFonts w:ascii="Tahoma" w:hAnsi="Tahoma" w:cs="Tahoma"/>
                <w:sz w:val="14"/>
                <w:szCs w:val="14"/>
              </w:rPr>
              <w:t>88</w:t>
            </w:r>
            <w:r w:rsidRPr="000562A9">
              <w:rPr>
                <w:rFonts w:ascii="Tahoma" w:hAnsi="Tahoma" w:cs="Tahoma"/>
                <w:sz w:val="14"/>
                <w:szCs w:val="14"/>
              </w:rPr>
              <w:t>-</w:t>
            </w:r>
            <w:r>
              <w:rPr>
                <w:rFonts w:ascii="Tahoma" w:hAnsi="Tahoma" w:cs="Tahoma"/>
                <w:sz w:val="14"/>
                <w:szCs w:val="14"/>
              </w:rPr>
              <w:t>95608-98-3</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362A8DD1" w:rsidR="00E978D0" w:rsidRPr="00B57B36" w:rsidRDefault="00347076" w:rsidP="00E978D0">
      <w:pPr>
        <w:pStyle w:val="CETTitle"/>
      </w:pPr>
      <w:r>
        <w:t xml:space="preserve">An innovative and </w:t>
      </w:r>
      <w:r w:rsidR="0001160E">
        <w:t>easy</w:t>
      </w:r>
      <w:r>
        <w:t xml:space="preserve"> method </w:t>
      </w:r>
      <w:r w:rsidR="0001160E">
        <w:t>for iron-doped titania synthesis</w:t>
      </w:r>
    </w:p>
    <w:p w14:paraId="0488FED2" w14:textId="772ABE80" w:rsidR="00B57E6F" w:rsidRPr="001373E7" w:rsidRDefault="00C02A2D" w:rsidP="00B57E6F">
      <w:pPr>
        <w:pStyle w:val="CETAuthors"/>
        <w:rPr>
          <w:lang w:val="it-IT"/>
        </w:rPr>
      </w:pPr>
      <w:r w:rsidRPr="001373E7">
        <w:rPr>
          <w:lang w:val="it-IT"/>
        </w:rPr>
        <w:t>Domenico Rosa</w:t>
      </w:r>
      <w:r w:rsidR="00B57E6F" w:rsidRPr="001373E7">
        <w:rPr>
          <w:lang w:val="it-IT"/>
        </w:rPr>
        <w:t xml:space="preserve">, </w:t>
      </w:r>
      <w:r w:rsidR="00347076">
        <w:rPr>
          <w:lang w:val="it-IT"/>
        </w:rPr>
        <w:t>Francesca D’Agostino</w:t>
      </w:r>
      <w:r w:rsidRPr="001373E7">
        <w:rPr>
          <w:lang w:val="it-IT"/>
        </w:rPr>
        <w:t>, Irene Bavasso, Luca Di Palma</w:t>
      </w:r>
    </w:p>
    <w:p w14:paraId="7F1C8FE5" w14:textId="01D23D01" w:rsidR="00C02A2D" w:rsidRPr="00C02A2D" w:rsidRDefault="00C02A2D" w:rsidP="00C02A2D">
      <w:pPr>
        <w:pStyle w:val="CETAddress"/>
      </w:pPr>
      <w:r w:rsidRPr="00C02A2D">
        <w:t>Department of Chemical Engineering Materials Environment &amp; UdR INSTM, Sapienza-Università di Roma, Via Eudossiana 18, 00184 Roma, Italy</w:t>
      </w:r>
    </w:p>
    <w:p w14:paraId="73F1267A" w14:textId="61F778EB" w:rsidR="00B57E6F" w:rsidRPr="00B57B36" w:rsidRDefault="00C02A2D" w:rsidP="00B57E6F">
      <w:pPr>
        <w:pStyle w:val="CETemail"/>
      </w:pPr>
      <w:r>
        <w:t>domenico</w:t>
      </w:r>
      <w:r w:rsidR="00B57E6F" w:rsidRPr="00B57B36">
        <w:t>.</w:t>
      </w:r>
      <w:r>
        <w:t>rosa@uniroma1.it</w:t>
      </w:r>
    </w:p>
    <w:p w14:paraId="34CCB225" w14:textId="1B0172C6" w:rsidR="00347076" w:rsidRDefault="00347076" w:rsidP="00347076">
      <w:pPr>
        <w:pStyle w:val="CETBodytext"/>
      </w:pPr>
      <w:bookmarkStart w:id="0" w:name="_Hlk495475023"/>
      <w:r w:rsidRPr="00CF747B">
        <w:t>In this work, photocatalytically active titanium oxide nanoparticles were synthesized for the treatment of contaminated water</w:t>
      </w:r>
      <w:r w:rsidR="00E834AB">
        <w:t xml:space="preserve"> under visible light</w:t>
      </w:r>
      <w:r w:rsidRPr="00CF747B">
        <w:t>. Various Ag</w:t>
      </w:r>
      <w:r w:rsidR="005C7795">
        <w:t>, Sr</w:t>
      </w:r>
      <w:r w:rsidRPr="00CF747B">
        <w:t xml:space="preserve"> and Fe-based synthesis and doping techniques (mainly hydrothermal and sol-gel </w:t>
      </w:r>
      <w:r>
        <w:t>methods</w:t>
      </w:r>
      <w:r w:rsidRPr="00CF747B">
        <w:t xml:space="preserve">) were performed. Adsorptive and photocatalytic properties were studied by testing </w:t>
      </w:r>
      <w:r w:rsidR="000D347C">
        <w:t>in batch mode for the</w:t>
      </w:r>
      <w:r w:rsidRPr="00CF747B">
        <w:t xml:space="preserve"> decontaminating a synthetic methylene blue solution (used as a model contaminant) using a simple 13 W LED bulb as the light source. The best material in terms of both activity (high removal kinetics) and simplicity of synthesis was found to be titanium oxide doped with Fe via "</w:t>
      </w:r>
      <w:r>
        <w:t>solid-state</w:t>
      </w:r>
      <w:r w:rsidRPr="00CF747B">
        <w:t xml:space="preserve">" method.  </w:t>
      </w:r>
      <w:r w:rsidRPr="00334A21">
        <w:t>This method enabled the synthesis of titania nanoparticles about 70 nanometers in size with Fe</w:t>
      </w:r>
      <w:r w:rsidRPr="00334A21">
        <w:rPr>
          <w:vertAlign w:val="superscript"/>
        </w:rPr>
        <w:t>3+</w:t>
      </w:r>
      <w:r w:rsidRPr="00334A21">
        <w:t xml:space="preserve"> </w:t>
      </w:r>
      <w:r>
        <w:t>effectively</w:t>
      </w:r>
      <w:r w:rsidRPr="00334A21">
        <w:t xml:space="preserve"> substitut</w:t>
      </w:r>
      <w:r w:rsidR="000D347C">
        <w:t>ing</w:t>
      </w:r>
      <w:r w:rsidRPr="00334A21">
        <w:t xml:space="preserve"> titanium atoms (Ti</w:t>
      </w:r>
      <w:r w:rsidRPr="00334A21">
        <w:rPr>
          <w:vertAlign w:val="superscript"/>
        </w:rPr>
        <w:t>4</w:t>
      </w:r>
      <w:r>
        <w:rPr>
          <w:vertAlign w:val="superscript"/>
        </w:rPr>
        <w:t>+</w:t>
      </w:r>
      <w:r w:rsidRPr="00334A21">
        <w:t>)</w:t>
      </w:r>
      <w:r>
        <w:t xml:space="preserve"> </w:t>
      </w:r>
      <w:r w:rsidRPr="00334A21">
        <w:t>in the crystalline bulk of titania</w:t>
      </w:r>
      <w:r w:rsidR="004A105C">
        <w:t>.</w:t>
      </w:r>
      <w:r w:rsidRPr="00334A21">
        <w:t xml:space="preserve"> </w:t>
      </w:r>
      <w:r w:rsidRPr="00CF747B">
        <w:t xml:space="preserve">The pseudo-first-order kinetic model was </w:t>
      </w:r>
      <w:r>
        <w:t>found to</w:t>
      </w:r>
      <w:r w:rsidRPr="00CF747B">
        <w:t xml:space="preserve"> rep</w:t>
      </w:r>
      <w:r>
        <w:t>resent</w:t>
      </w:r>
      <w:r w:rsidRPr="00CF747B">
        <w:t xml:space="preserve"> the behavior of the experimental data</w:t>
      </w:r>
      <w:r>
        <w:t>.</w:t>
      </w:r>
      <w:r w:rsidRPr="00CF747B">
        <w:t xml:space="preserve"> </w:t>
      </w:r>
    </w:p>
    <w:p w14:paraId="57D843EA" w14:textId="77777777" w:rsidR="00C02A2D" w:rsidRPr="00B57B36" w:rsidRDefault="00C02A2D" w:rsidP="00600535">
      <w:pPr>
        <w:pStyle w:val="CETBodytext"/>
        <w:rPr>
          <w:lang w:val="en-GB"/>
        </w:rPr>
      </w:pPr>
    </w:p>
    <w:bookmarkEnd w:id="0"/>
    <w:p w14:paraId="476B2F2E" w14:textId="7C7B6654" w:rsidR="00600535" w:rsidRDefault="00600535" w:rsidP="00600535">
      <w:pPr>
        <w:pStyle w:val="CETHeading1"/>
        <w:rPr>
          <w:lang w:val="en-GB"/>
        </w:rPr>
      </w:pPr>
      <w:r w:rsidRPr="00B57B36">
        <w:rPr>
          <w:lang w:val="en-GB"/>
        </w:rPr>
        <w:t>Introduction</w:t>
      </w:r>
    </w:p>
    <w:p w14:paraId="0B0D54D2" w14:textId="1D24C452" w:rsidR="00110DC2" w:rsidRPr="00110DC2" w:rsidRDefault="00347076" w:rsidP="00A93083">
      <w:pPr>
        <w:pStyle w:val="CETBodytext"/>
      </w:pPr>
      <w:r w:rsidRPr="00347076">
        <w:t xml:space="preserve">Population growth and industrialization led to increased production of </w:t>
      </w:r>
      <w:r w:rsidR="0001160E" w:rsidRPr="00347076">
        <w:t xml:space="preserve">contaminated </w:t>
      </w:r>
      <w:r w:rsidRPr="00347076">
        <w:t xml:space="preserve">water with emerging </w:t>
      </w:r>
      <w:r w:rsidRPr="00E46DDF">
        <w:t xml:space="preserve">contaminants </w:t>
      </w:r>
      <w:sdt>
        <w:sdtPr>
          <w:rPr>
            <w:color w:val="000000"/>
          </w:rPr>
          <w:tag w:val="MENDELEY_CITATION_v3_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"/>
          <w:id w:val="947280470"/>
          <w:placeholder>
            <w:docPart w:val="DefaultPlaceholder_-1854013440"/>
          </w:placeholder>
        </w:sdtPr>
        <w:sdtContent>
          <w:r w:rsidR="00E46DDF" w:rsidRPr="00E46DDF">
            <w:rPr>
              <w:color w:val="000000"/>
            </w:rPr>
            <w:t>(Somma et al., 2021)</w:t>
          </w:r>
        </w:sdtContent>
      </w:sdt>
      <w:r w:rsidR="00F3289F" w:rsidRPr="00E46DDF">
        <w:t xml:space="preserve"> </w:t>
      </w:r>
      <w:r w:rsidRPr="00E46DDF">
        <w:t>that</w:t>
      </w:r>
      <w:r w:rsidRPr="00347076">
        <w:t xml:space="preserve"> need to be </w:t>
      </w:r>
      <w:r w:rsidR="000D347C">
        <w:t xml:space="preserve">removed </w:t>
      </w:r>
      <w:r w:rsidRPr="00347076">
        <w:t>for environmental protection</w:t>
      </w:r>
      <w:sdt>
        <w:sdtPr>
          <w:rPr>
            <w:color w:val="000000"/>
          </w:rPr>
          <w:tag w:val="MENDELEY_CITATION_v3_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"/>
          <w:id w:val="165061677"/>
          <w:placeholder>
            <w:docPart w:val="DefaultPlaceholder_-1854013440"/>
          </w:placeholder>
        </w:sdtPr>
        <w:sdtContent>
          <w:r w:rsidR="00E46DDF" w:rsidRPr="00E46DDF">
            <w:rPr>
              <w:color w:val="000000"/>
            </w:rPr>
            <w:t>(Akartasse et al., 2022)</w:t>
          </w:r>
        </w:sdtContent>
      </w:sdt>
      <w:r w:rsidRPr="00347076">
        <w:t>. However, traditional techniques such as flocculation, filtration</w:t>
      </w:r>
      <w:r>
        <w:t>,</w:t>
      </w:r>
      <w:r w:rsidRPr="00347076">
        <w:t xml:space="preserve"> and sedimentation cannot </w:t>
      </w:r>
      <w:r w:rsidR="000D347C">
        <w:t>successfully</w:t>
      </w:r>
      <w:r w:rsidR="000D347C" w:rsidRPr="00347076">
        <w:t xml:space="preserve"> </w:t>
      </w:r>
      <w:r w:rsidRPr="00347076">
        <w:t xml:space="preserve">remove the contaminant from water. Photocatalysis has proven to be an effective method for the degradation of organic pollutants due to its ability to mineralize </w:t>
      </w:r>
      <w:r w:rsidR="000D347C">
        <w:t>several</w:t>
      </w:r>
      <w:r w:rsidR="000D347C" w:rsidRPr="00347076">
        <w:t xml:space="preserve"> </w:t>
      </w:r>
      <w:r w:rsidRPr="00347076">
        <w:t>contaminant</w:t>
      </w:r>
      <w:r w:rsidR="00813C91">
        <w:t>s</w:t>
      </w:r>
      <w:r w:rsidR="00C85D04">
        <w:t xml:space="preserve"> </w:t>
      </w:r>
      <w:r w:rsidRPr="00347076">
        <w:t>and, through radical oxidation (due to hydroxyl radicals</w:t>
      </w:r>
      <w:r w:rsidR="00771F8A">
        <w:t>, HO</w:t>
      </w:r>
      <w:r w:rsidR="00771F8A" w:rsidRPr="00A93083">
        <w:t>•</w:t>
      </w:r>
      <w:r w:rsidRPr="00347076">
        <w:t xml:space="preserve">), degrade </w:t>
      </w:r>
      <w:r w:rsidR="00813C91">
        <w:t>them</w:t>
      </w:r>
      <w:r w:rsidRPr="00347076">
        <w:t xml:space="preserve"> into CO</w:t>
      </w:r>
      <w:r w:rsidRPr="00813C91">
        <w:rPr>
          <w:vertAlign w:val="subscript"/>
        </w:rPr>
        <w:t>2</w:t>
      </w:r>
      <w:r w:rsidRPr="00347076">
        <w:t xml:space="preserve">. This phenomenon occurs when light radiation (of the appropriate wavelength) strikes the surface of the photocatalyst (a semiconductor) and photoexcites the electron, which from the valence band passes to the conduction band, generating </w:t>
      </w:r>
      <w:r w:rsidR="00932248">
        <w:t xml:space="preserve">a positive hole-electron pair. </w:t>
      </w:r>
      <w:r w:rsidR="00932248" w:rsidRPr="00932248">
        <w:t xml:space="preserve">The </w:t>
      </w:r>
      <w:r w:rsidR="00813C91">
        <w:t xml:space="preserve">excited </w:t>
      </w:r>
      <w:r w:rsidR="005C7795" w:rsidRPr="00932248">
        <w:t>electron</w:t>
      </w:r>
      <w:r w:rsidR="005C7795">
        <w:t>s (</w:t>
      </w:r>
      <w:r w:rsidR="00932248">
        <w:t>e</w:t>
      </w:r>
      <w:r w:rsidR="00932248" w:rsidRPr="00670F7C">
        <w:rPr>
          <w:vertAlign w:val="subscript"/>
        </w:rPr>
        <w:t>cb</w:t>
      </w:r>
      <w:r w:rsidR="00932248">
        <w:t>)</w:t>
      </w:r>
      <w:r w:rsidR="00932248" w:rsidRPr="00932248">
        <w:t xml:space="preserve"> can react with dissolved oxygen in </w:t>
      </w:r>
      <w:r w:rsidR="00932248">
        <w:t xml:space="preserve">the </w:t>
      </w:r>
      <w:r w:rsidR="00932248" w:rsidRPr="00932248">
        <w:t>water to form the superoxide radical (Eq</w:t>
      </w:r>
      <w:r w:rsidR="00932248">
        <w:t>.</w:t>
      </w:r>
      <w:r w:rsidR="00932248" w:rsidRPr="00932248">
        <w:t xml:space="preserve"> </w:t>
      </w:r>
      <w:r w:rsidR="008F5204">
        <w:t>1</w:t>
      </w:r>
      <w:r w:rsidR="00932248" w:rsidRPr="00932248">
        <w:t xml:space="preserve">), while the positive </w:t>
      </w:r>
      <w:r w:rsidR="00932248">
        <w:t>hole (h</w:t>
      </w:r>
      <w:r w:rsidR="00932248" w:rsidRPr="0001160E">
        <w:rPr>
          <w:vertAlign w:val="superscript"/>
        </w:rPr>
        <w:t>+</w:t>
      </w:r>
      <w:r w:rsidR="00932248">
        <w:t>)</w:t>
      </w:r>
      <w:r w:rsidR="00932248" w:rsidRPr="00932248">
        <w:t xml:space="preserve"> can oxidize a water molecule to form the hydroxyl radical (Eq</w:t>
      </w:r>
      <w:r w:rsidR="00932248">
        <w:t>.</w:t>
      </w:r>
      <w:r w:rsidR="00932248" w:rsidRPr="00932248">
        <w:t xml:space="preserve"> </w:t>
      </w:r>
      <w:r w:rsidR="008F5204">
        <w:t>2</w:t>
      </w:r>
      <w:r w:rsidR="00932248" w:rsidRPr="00932248">
        <w:t>), which is more responsible for contaminant degradation due to its high oxidizing power</w:t>
      </w:r>
      <w:r w:rsidR="00932248">
        <w:t xml:space="preserve"> (Eq. </w:t>
      </w:r>
      <w:r w:rsidR="008F5204">
        <w:t>3</w:t>
      </w:r>
      <w:r w:rsidR="00932248">
        <w:t>).</w:t>
      </w:r>
    </w:p>
    <w:p w14:paraId="2FF6D4FA" w14:textId="280ED1FA" w:rsidR="00645229" w:rsidRPr="00771F8A" w:rsidRDefault="00000000" w:rsidP="00771F8A">
      <w:pPr>
        <w:pStyle w:val="CETEquation"/>
        <w:spacing w:line="360" w:lineRule="auto"/>
        <w:rPr>
          <w:rFonts w:cs="Arial"/>
        </w:rPr>
      </w:pPr>
      <m:oMathPara>
        <m:oMath>
          <m:sSub>
            <m:sSubPr>
              <m:ctrlPr>
                <w:rPr>
                  <w:rFonts w:ascii="Cambria Math" w:hAnsi="Cambria Math" w:cs="Arial"/>
                  <w:i/>
                </w:rPr>
              </m:ctrlPr>
            </m:sSubPr>
            <m:e>
              <m:r>
                <w:rPr>
                  <w:rFonts w:ascii="Cambria Math" w:hAnsi="Cambria Math" w:cs="Arial"/>
                </w:rPr>
                <m:t>e</m:t>
              </m:r>
            </m:e>
            <m:sub>
              <m:r>
                <w:rPr>
                  <w:rFonts w:ascii="Cambria Math" w:hAnsi="Cambria Math" w:cs="Arial"/>
                </w:rPr>
                <m:t>cb</m:t>
              </m:r>
            </m:sub>
          </m:sSub>
          <m:r>
            <w:rPr>
              <w:rFonts w:ascii="Cambria Math" w:hAnsi="Cambria Math" w:cs="Arial"/>
            </w:rPr>
            <m:t>+</m:t>
          </m:r>
          <m:sSub>
            <m:sSubPr>
              <m:ctrlPr>
                <w:rPr>
                  <w:rFonts w:ascii="Cambria Math" w:hAnsi="Cambria Math" w:cs="Arial"/>
                  <w:i/>
                </w:rPr>
              </m:ctrlPr>
            </m:sSubPr>
            <m:e>
              <m:r>
                <w:rPr>
                  <w:rFonts w:ascii="Cambria Math" w:hAnsi="Cambria Math" w:cs="Arial"/>
                </w:rPr>
                <m:t>O</m:t>
              </m:r>
            </m:e>
            <m:sub>
              <m:r>
                <w:rPr>
                  <w:rFonts w:ascii="Cambria Math" w:hAnsi="Cambria Math" w:cs="Arial"/>
                </w:rPr>
                <m:t>2</m:t>
              </m:r>
            </m:sub>
          </m:sSub>
          <m:r>
            <w:rPr>
              <w:rFonts w:ascii="Cambria Math" w:hAnsi="Cambria Math" w:cs="Arial"/>
            </w:rPr>
            <m:t>=</m:t>
          </m:r>
          <m:sSubSup>
            <m:sSubSupPr>
              <m:ctrlPr>
                <w:rPr>
                  <w:rFonts w:ascii="Cambria Math" w:hAnsi="Cambria Math" w:cs="Arial"/>
                  <w:i/>
                </w:rPr>
              </m:ctrlPr>
            </m:sSubSupPr>
            <m:e>
              <m:r>
                <w:rPr>
                  <w:rFonts w:ascii="Cambria Math" w:hAnsi="Cambria Math" w:cs="Arial"/>
                </w:rPr>
                <m:t>O</m:t>
              </m:r>
            </m:e>
            <m:sub>
              <m:r>
                <w:rPr>
                  <w:rFonts w:ascii="Cambria Math" w:hAnsi="Cambria Math" w:cs="Arial"/>
                </w:rPr>
                <m:t>2</m:t>
              </m:r>
            </m:sub>
            <m:sup>
              <m:r>
                <w:rPr>
                  <w:rFonts w:ascii="Cambria Math" w:hAnsi="Cambria Math" w:cs="Arial"/>
                </w:rPr>
                <m:t>∙</m:t>
              </m:r>
            </m:sup>
          </m:sSubSup>
          <m:r>
            <w:rPr>
              <w:rFonts w:ascii="Cambria Math" w:hAnsi="Cambria Math" w:cs="Arial"/>
            </w:rPr>
            <m:t xml:space="preserve">                 </m:t>
          </m:r>
          <m:r>
            <m:rPr>
              <m:sty m:val="p"/>
            </m:rPr>
            <w:rPr>
              <w:rFonts w:ascii="Cambria Math" w:hAnsi="Cambria Math" w:cs="Arial"/>
            </w:rPr>
            <m:t xml:space="preserve">                                                                                                                                                                          (1)</m:t>
          </m:r>
          <m:r>
            <m:rPr>
              <m:sty m:val="p"/>
            </m:rPr>
            <w:rPr>
              <w:rFonts w:ascii="Cambria Math" w:hAnsi="Cambria Math" w:cs="Arial"/>
            </w:rPr>
            <w:br/>
          </m:r>
        </m:oMath>
        <m:oMath>
          <m:sSup>
            <m:sSupPr>
              <m:ctrlPr>
                <w:rPr>
                  <w:rFonts w:ascii="Cambria Math" w:hAnsi="Cambria Math" w:cs="Arial"/>
                  <w:i/>
                </w:rPr>
              </m:ctrlPr>
            </m:sSupPr>
            <m:e>
              <m:r>
                <w:rPr>
                  <w:rFonts w:ascii="Cambria Math" w:hAnsi="Cambria Math" w:cs="Arial"/>
                </w:rPr>
                <m:t>h</m:t>
              </m:r>
            </m:e>
            <m:sup>
              <m:r>
                <w:rPr>
                  <w:rFonts w:ascii="Cambria Math" w:hAnsi="Cambria Math" w:cs="Arial"/>
                </w:rPr>
                <m:t>+</m:t>
              </m:r>
            </m:sup>
          </m:sSup>
          <m:r>
            <w:rPr>
              <w:rFonts w:ascii="Cambria Math" w:hAnsi="Cambria Math" w:cs="Arial"/>
            </w:rPr>
            <m:t>+</m:t>
          </m:r>
          <m:sSub>
            <m:sSubPr>
              <m:ctrlPr>
                <w:rPr>
                  <w:rFonts w:ascii="Cambria Math" w:hAnsi="Cambria Math" w:cs="Arial"/>
                  <w:i/>
                </w:rPr>
              </m:ctrlPr>
            </m:sSubPr>
            <m:e>
              <m:r>
                <w:rPr>
                  <w:rFonts w:ascii="Cambria Math" w:hAnsi="Cambria Math" w:cs="Arial"/>
                </w:rPr>
                <m:t>H</m:t>
              </m:r>
            </m:e>
            <m:sub>
              <m:r>
                <w:rPr>
                  <w:rFonts w:ascii="Cambria Math" w:hAnsi="Cambria Math" w:cs="Arial"/>
                </w:rPr>
                <m:t>2</m:t>
              </m:r>
            </m:sub>
          </m:sSub>
          <m:r>
            <w:rPr>
              <w:rFonts w:ascii="Cambria Math" w:hAnsi="Cambria Math" w:cs="Arial"/>
            </w:rPr>
            <m:t>O=</m:t>
          </m:r>
          <m:sSup>
            <m:sSupPr>
              <m:ctrlPr>
                <w:rPr>
                  <w:rFonts w:ascii="Cambria Math" w:hAnsi="Cambria Math" w:cs="Arial"/>
                  <w:i/>
                </w:rPr>
              </m:ctrlPr>
            </m:sSupPr>
            <m:e>
              <m:r>
                <w:rPr>
                  <w:rFonts w:ascii="Cambria Math" w:hAnsi="Cambria Math" w:cs="Arial"/>
                </w:rPr>
                <m:t>H</m:t>
              </m:r>
            </m:e>
            <m:sup>
              <m:r>
                <w:rPr>
                  <w:rFonts w:ascii="Cambria Math" w:hAnsi="Cambria Math" w:cs="Arial"/>
                </w:rPr>
                <m:t>+</m:t>
              </m:r>
            </m:sup>
          </m:sSup>
          <m:r>
            <w:rPr>
              <w:rFonts w:ascii="Cambria Math" w:hAnsi="Cambria Math" w:cs="Arial"/>
            </w:rPr>
            <m:t>+</m:t>
          </m:r>
          <m:sSup>
            <m:sSupPr>
              <m:ctrlPr>
                <w:rPr>
                  <w:rFonts w:ascii="Cambria Math" w:hAnsi="Cambria Math" w:cs="Arial"/>
                  <w:i/>
                </w:rPr>
              </m:ctrlPr>
            </m:sSupPr>
            <m:e>
              <m:r>
                <w:rPr>
                  <w:rFonts w:ascii="Cambria Math" w:hAnsi="Cambria Math" w:cs="Arial"/>
                </w:rPr>
                <m:t>HO</m:t>
              </m:r>
            </m:e>
            <m:sup>
              <m:r>
                <w:rPr>
                  <w:rFonts w:ascii="Cambria Math" w:hAnsi="Cambria Math" w:cs="Arial"/>
                </w:rPr>
                <m:t>∙</m:t>
              </m:r>
            </m:sup>
          </m:sSup>
          <m:r>
            <w:rPr>
              <w:rFonts w:ascii="Cambria Math" w:hAnsi="Cambria Math" w:cs="Arial"/>
            </w:rPr>
            <m:t xml:space="preserve">           </m:t>
          </m:r>
          <m:r>
            <m:rPr>
              <m:sty m:val="p"/>
            </m:rPr>
            <w:rPr>
              <w:rFonts w:ascii="Cambria Math" w:hAnsi="Cambria Math" w:cs="Arial"/>
            </w:rPr>
            <m:t xml:space="preserve">                                                                                                                                                                (2)</m:t>
          </m:r>
        </m:oMath>
      </m:oMathPara>
    </w:p>
    <w:p w14:paraId="71DDDAA1" w14:textId="458761B9" w:rsidR="00771F8A" w:rsidRPr="00771F8A" w:rsidRDefault="00771F8A" w:rsidP="00771F8A">
      <w:pPr>
        <w:pStyle w:val="CETEquation"/>
        <w:spacing w:line="360" w:lineRule="auto"/>
      </w:pPr>
      <m:oMathPara>
        <m:oMath>
          <m:r>
            <w:rPr>
              <w:rFonts w:ascii="Cambria Math" w:hAnsi="Cambria Math"/>
            </w:rPr>
            <m:t>Organic contaminant+</m:t>
          </m:r>
          <m:sSup>
            <m:sSupPr>
              <m:ctrlPr>
                <w:rPr>
                  <w:rFonts w:ascii="Cambria Math" w:hAnsi="Cambria Math" w:cs="Arial"/>
                  <w:i/>
                </w:rPr>
              </m:ctrlPr>
            </m:sSupPr>
            <m:e>
              <m:r>
                <w:rPr>
                  <w:rFonts w:ascii="Cambria Math" w:hAnsi="Cambria Math" w:cs="Arial"/>
                </w:rPr>
                <m:t>HO</m:t>
              </m:r>
            </m:e>
            <m:sup>
              <m:r>
                <w:rPr>
                  <w:rFonts w:ascii="Cambria Math" w:hAnsi="Cambria Math" w:cs="Arial"/>
                </w:rPr>
                <m:t>∙</m:t>
              </m:r>
            </m:sup>
          </m:sSup>
          <m:r>
            <w:rPr>
              <w:rFonts w:ascii="Cambria Math" w:hAnsi="Cambria Math"/>
            </w:rPr>
            <m:t>=</m:t>
          </m:r>
          <m:sSub>
            <m:sSubPr>
              <m:ctrlPr>
                <w:rPr>
                  <w:rFonts w:ascii="Cambria Math" w:hAnsi="Cambria Math" w:cs="Arial"/>
                  <w:i/>
                </w:rPr>
              </m:ctrlPr>
            </m:sSubPr>
            <m:e>
              <m:r>
                <w:rPr>
                  <w:rFonts w:ascii="Cambria Math" w:hAnsi="Cambria Math" w:cs="Arial"/>
                </w:rPr>
                <m:t>H</m:t>
              </m:r>
            </m:e>
            <m:sub>
              <m:r>
                <w:rPr>
                  <w:rFonts w:ascii="Cambria Math" w:hAnsi="Cambria Math" w:cs="Arial"/>
                </w:rPr>
                <m:t>2</m:t>
              </m:r>
            </m:sub>
          </m:sSub>
          <m:r>
            <w:rPr>
              <w:rFonts w:ascii="Cambria Math" w:hAnsi="Cambria Math" w:cs="Arial"/>
            </w:rPr>
            <m:t>O</m:t>
          </m:r>
          <m:r>
            <w:rPr>
              <w:rFonts w:ascii="Cambria Math" w:hAnsi="Cambria Math"/>
            </w:rPr>
            <m:t>+</m:t>
          </m:r>
          <m:sSub>
            <m:sSubPr>
              <m:ctrlPr>
                <w:rPr>
                  <w:rFonts w:ascii="Cambria Math" w:hAnsi="Cambria Math" w:cs="Arial"/>
                  <w:i/>
                </w:rPr>
              </m:ctrlPr>
            </m:sSubPr>
            <m:e>
              <m:r>
                <w:rPr>
                  <w:rFonts w:ascii="Cambria Math" w:hAnsi="Cambria Math" w:cs="Arial"/>
                </w:rPr>
                <m:t>CO</m:t>
              </m:r>
            </m:e>
            <m:sub>
              <m:r>
                <w:rPr>
                  <w:rFonts w:ascii="Cambria Math" w:hAnsi="Cambria Math" w:cs="Arial"/>
                </w:rPr>
                <m:t>2</m:t>
              </m:r>
            </m:sub>
          </m:sSub>
          <m:r>
            <w:rPr>
              <w:rFonts w:ascii="Cambria Math" w:hAnsi="Cambria Math"/>
            </w:rPr>
            <m:t xml:space="preserve">              </m:t>
          </m:r>
          <m:r>
            <m:rPr>
              <m:sty m:val="p"/>
            </m:rPr>
            <w:rPr>
              <w:rFonts w:ascii="Cambria Math" w:hAnsi="Cambria Math"/>
            </w:rPr>
            <m:t xml:space="preserve">                                                                                                                    (3)</m:t>
          </m:r>
        </m:oMath>
      </m:oMathPara>
    </w:p>
    <w:p w14:paraId="05A49C8C" w14:textId="14A7D1A5" w:rsidR="00C5263B" w:rsidRDefault="00932248" w:rsidP="00A93083">
      <w:pPr>
        <w:pStyle w:val="CETBodytext"/>
      </w:pPr>
      <w:r w:rsidRPr="00A93083">
        <w:t xml:space="preserve">The most widely used photocatalyst is titanium oxide </w:t>
      </w:r>
      <w:r w:rsidR="00A93083" w:rsidRPr="00A93083">
        <w:t>(TiO</w:t>
      </w:r>
      <w:r w:rsidR="00A93083" w:rsidRPr="00A93083">
        <w:rPr>
          <w:vertAlign w:val="subscript"/>
        </w:rPr>
        <w:t>2</w:t>
      </w:r>
      <w:r w:rsidR="00A93083" w:rsidRPr="00A93083">
        <w:t xml:space="preserve">) </w:t>
      </w:r>
      <w:r w:rsidRPr="00A93083">
        <w:t xml:space="preserve">because it is stable, chemically inert, inexpensive, </w:t>
      </w:r>
      <w:r w:rsidR="00A93083" w:rsidRPr="00A93083">
        <w:t>non</w:t>
      </w:r>
      <w:r w:rsidR="000D347C">
        <w:t>-</w:t>
      </w:r>
      <w:r w:rsidR="00A93083" w:rsidRPr="00A93083">
        <w:t>toxic</w:t>
      </w:r>
      <w:r w:rsidRPr="00A93083">
        <w:t xml:space="preserve">, and abundant. It has the disadvantage of </w:t>
      </w:r>
      <w:r w:rsidR="000D347C">
        <w:t xml:space="preserve">a </w:t>
      </w:r>
      <w:r w:rsidRPr="00A93083">
        <w:t xml:space="preserve">too high band gap (3.2 eV) </w:t>
      </w:r>
      <w:r w:rsidR="000D347C">
        <w:t>thus</w:t>
      </w:r>
      <w:r w:rsidRPr="00A93083">
        <w:t xml:space="preserve"> work</w:t>
      </w:r>
      <w:r w:rsidR="000D347C">
        <w:t>ing</w:t>
      </w:r>
      <w:r w:rsidRPr="00A93083">
        <w:t xml:space="preserve"> only under ultraviolet light (radiation at sufficient energy to photoexcite the electron)</w:t>
      </w:r>
      <w:r w:rsidR="00A93083" w:rsidRPr="00A93083">
        <w:t xml:space="preserve"> which is dangerous for human safety</w:t>
      </w:r>
      <w:r w:rsidR="00E834AB">
        <w:t>.</w:t>
      </w:r>
      <w:r w:rsidR="00A93083" w:rsidRPr="00A93083">
        <w:t xml:space="preserve"> To overcome this limitation, titania (TiO</w:t>
      </w:r>
      <w:r w:rsidR="00A93083" w:rsidRPr="00A93083">
        <w:rPr>
          <w:vertAlign w:val="subscript"/>
        </w:rPr>
        <w:t>2</w:t>
      </w:r>
      <w:r w:rsidR="00A93083" w:rsidRPr="00A93083">
        <w:t xml:space="preserve">) doping is </w:t>
      </w:r>
      <w:r w:rsidR="000D347C">
        <w:t xml:space="preserve">commonly </w:t>
      </w:r>
      <w:r w:rsidR="00A93083" w:rsidRPr="00A93083">
        <w:t>employed</w:t>
      </w:r>
      <w:r w:rsidR="000D347C">
        <w:t xml:space="preserve"> as</w:t>
      </w:r>
      <w:r w:rsidR="00A93083" w:rsidRPr="00A93083">
        <w:t xml:space="preserve"> a </w:t>
      </w:r>
      <w:r w:rsidR="000D347C">
        <w:t>successful</w:t>
      </w:r>
      <w:r w:rsidR="000D347C" w:rsidRPr="00A93083">
        <w:t xml:space="preserve"> </w:t>
      </w:r>
      <w:r w:rsidR="00A93083" w:rsidRPr="00A93083">
        <w:t>method of decreasing the band gap</w:t>
      </w:r>
      <w:r w:rsidR="000D347C">
        <w:t xml:space="preserve"> thus </w:t>
      </w:r>
      <w:r w:rsidR="00A93083" w:rsidRPr="00A93083">
        <w:t>allow</w:t>
      </w:r>
      <w:r w:rsidR="000D347C">
        <w:t>ing</w:t>
      </w:r>
      <w:r w:rsidR="00A93083" w:rsidRPr="00A93083">
        <w:t xml:space="preserve"> the catalyst to be active even under visible light</w:t>
      </w:r>
      <w:r w:rsidR="000D347C">
        <w:t xml:space="preserve">. Titania doping </w:t>
      </w:r>
      <w:r w:rsidR="00E834AB">
        <w:t>involves</w:t>
      </w:r>
      <w:r w:rsidR="00E834AB" w:rsidRPr="00A93083">
        <w:t xml:space="preserve"> enriching</w:t>
      </w:r>
      <w:r w:rsidR="00A93083" w:rsidRPr="00A93083">
        <w:t xml:space="preserve"> the crystalline bulk of titania with other chemical elements by forming lower-energy covalent bonds. </w:t>
      </w:r>
      <w:bookmarkStart w:id="1" w:name="_Hlk116946091"/>
      <w:r w:rsidR="000D347C">
        <w:t>S</w:t>
      </w:r>
      <w:r w:rsidR="00DB2E46" w:rsidRPr="00A93083">
        <w:t xml:space="preserve">everal synthesis techniques </w:t>
      </w:r>
      <w:r w:rsidR="000D347C">
        <w:t xml:space="preserve">are already available </w:t>
      </w:r>
      <w:r w:rsidR="00DB2E46" w:rsidRPr="00A93083">
        <w:t xml:space="preserve">to </w:t>
      </w:r>
      <w:r w:rsidR="000D347C">
        <w:t xml:space="preserve">provide titania doping with </w:t>
      </w:r>
      <w:r w:rsidR="00E834AB">
        <w:t>several</w:t>
      </w:r>
      <w:r w:rsidR="000D347C">
        <w:t xml:space="preserve"> ions </w:t>
      </w:r>
      <w:sdt>
        <w:sdtPr>
          <w:rPr>
            <w:highlight w:val="cyan"/>
          </w:rPr>
          <w:tag w:val="MENDELEY_CITATION_v3_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"/>
          <w:id w:val="2088033589"/>
          <w:placeholder>
            <w:docPart w:val="DefaultPlaceholder_-1854013440"/>
          </w:placeholder>
        </w:sdtPr>
        <w:sdtContent>
          <w:r w:rsidR="00E46DDF">
            <w:t>(Akerdi &amp; Bahrami, 2019)</w:t>
          </w:r>
        </w:sdtContent>
      </w:sdt>
      <w:r w:rsidR="00C5263B">
        <w:t>.</w:t>
      </w:r>
    </w:p>
    <w:p w14:paraId="19E2D48E" w14:textId="3CDF6CD5" w:rsidR="00A93083" w:rsidRPr="00DB2E46" w:rsidRDefault="00A93083" w:rsidP="00A93083">
      <w:pPr>
        <w:pStyle w:val="CETBodytext"/>
      </w:pPr>
      <w:r w:rsidRPr="00A93083">
        <w:t xml:space="preserve">The most widely used synthesis techniques are precipitation synthesis, the solvothermal method, and the sol-gel </w:t>
      </w:r>
      <w:r w:rsidRPr="00E46F6D">
        <w:t>method</w:t>
      </w:r>
      <w:r w:rsidR="00E46F6D">
        <w:t xml:space="preserve"> </w:t>
      </w:r>
      <w:sdt>
        <w:sdtPr>
          <w:rPr>
            <w:color w:val="000000"/>
          </w:rPr>
          <w:tag w:val="MENDELEY_CITATION_v3_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"/>
          <w:id w:val="-626697412"/>
          <w:placeholder>
            <w:docPart w:val="DefaultPlaceholder_-1854013440"/>
          </w:placeholder>
        </w:sdtPr>
        <w:sdtContent>
          <w:r w:rsidR="00E46DDF" w:rsidRPr="00E46DDF">
            <w:rPr>
              <w:color w:val="000000"/>
            </w:rPr>
            <w:t>(Kuriakose et al., 2013)</w:t>
          </w:r>
        </w:sdtContent>
      </w:sdt>
      <w:r w:rsidR="00E46F6D">
        <w:rPr>
          <w:color w:val="000000"/>
        </w:rPr>
        <w:t>.</w:t>
      </w:r>
      <w:r w:rsidRPr="00E46F6D">
        <w:t xml:space="preserve"> In</w:t>
      </w:r>
      <w:r w:rsidRPr="00A93083">
        <w:t xml:space="preserve"> precipitation synthesis, the product obtained is controlled by solution </w:t>
      </w:r>
      <w:r w:rsidRPr="00A93083">
        <w:lastRenderedPageBreak/>
        <w:t>concentration, pH, washing medium, and calcination temperature.</w:t>
      </w:r>
      <w:r w:rsidR="00DB2E46">
        <w:t xml:space="preserve"> </w:t>
      </w:r>
      <w:r w:rsidRPr="00322605">
        <w:rPr>
          <w:rFonts w:eastAsiaTheme="minorEastAsia"/>
        </w:rPr>
        <w:t xml:space="preserve">The advantages of this method are simple scalability, low cost, and nonrestrictive reaction conditions. The main disadvantage, however, is the difficulty in controlling particle size because of the high precipitation rate </w:t>
      </w:r>
      <w:sdt>
        <w:sdtPr>
          <w:rPr>
            <w:rFonts w:eastAsiaTheme="minorEastAsia"/>
            <w:color w:val="000000"/>
          </w:rPr>
          <w:tag w:val="MENDELEY_CITATION_v3_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"/>
          <w:id w:val="1076640896"/>
          <w:placeholder>
            <w:docPart w:val="DefaultPlaceholder_-1854013440"/>
          </w:placeholder>
        </w:sdtPr>
        <w:sdtContent>
          <w:r w:rsidR="00E46DDF" w:rsidRPr="00E46DDF">
            <w:rPr>
              <w:rFonts w:eastAsiaTheme="minorEastAsia"/>
              <w:color w:val="000000"/>
            </w:rPr>
            <w:t>(Kuriakose et al., 2013)</w:t>
          </w:r>
        </w:sdtContent>
      </w:sdt>
      <w:r w:rsidR="00E46F6D">
        <w:rPr>
          <w:rFonts w:eastAsiaTheme="minorEastAsia"/>
          <w:color w:val="000000"/>
        </w:rPr>
        <w:t>.</w:t>
      </w:r>
    </w:p>
    <w:p w14:paraId="25C96B16" w14:textId="54A4AB00" w:rsidR="000D347C" w:rsidRDefault="00A93083" w:rsidP="00A93083">
      <w:pPr>
        <w:pStyle w:val="CETBodytext"/>
        <w:rPr>
          <w:rFonts w:eastAsiaTheme="minorEastAsia"/>
        </w:rPr>
      </w:pPr>
      <w:r w:rsidRPr="00322605">
        <w:rPr>
          <w:rFonts w:eastAsiaTheme="minorEastAsia"/>
        </w:rPr>
        <w:t xml:space="preserve">The solvothermal method (hydrothermal if chemical reactions occur in aqueous solvents), through control of solution composition, reaction temperature, pressure, solvent type, and additives, provides efficient control of particle size, morphology, and crystallinity of the product. The disadvantages are the use of expensive equipment that is resistant to high pressures and temperatures and that the reaction usually proceeds without agitation, sometimes leading to an incomplete reaction and a non-uniform product. The sol-gel method is used for the synthesis of thin films and powders </w:t>
      </w:r>
      <w:sdt>
        <w:sdtPr>
          <w:rPr>
            <w:rFonts w:eastAsiaTheme="minorEastAsia"/>
            <w:color w:val="000000"/>
          </w:rPr>
          <w:tag w:val="MENDELEY_CITATION_v3_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"/>
          <w:id w:val="1979102866"/>
          <w:placeholder>
            <w:docPart w:val="DefaultPlaceholder_-1854013440"/>
          </w:placeholder>
        </w:sdtPr>
        <w:sdtContent>
          <w:r w:rsidR="00E46DDF" w:rsidRPr="00E46DDF">
            <w:rPr>
              <w:rFonts w:eastAsiaTheme="minorEastAsia"/>
              <w:color w:val="000000"/>
            </w:rPr>
            <w:t>(Bokov et al., 2021)</w:t>
          </w:r>
        </w:sdtContent>
      </w:sdt>
      <w:r w:rsidR="00422BC8" w:rsidRPr="00E46DDF">
        <w:rPr>
          <w:rFonts w:eastAsiaTheme="minorEastAsia"/>
        </w:rPr>
        <w:t>,</w:t>
      </w:r>
      <w:sdt>
        <w:sdtPr>
          <w:rPr>
            <w:rFonts w:eastAsiaTheme="minorEastAsia"/>
            <w:color w:val="000000"/>
          </w:rPr>
          <w:tag w:val="MENDELEY_CITATION_v3_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"/>
          <w:id w:val="-1473510090"/>
          <w:placeholder>
            <w:docPart w:val="DefaultPlaceholder_-1854013440"/>
          </w:placeholder>
        </w:sdtPr>
        <w:sdtContent>
          <w:r w:rsidR="00E46DDF" w:rsidRPr="00E46DDF">
            <w:rPr>
              <w:rFonts w:eastAsiaTheme="minorEastAsia"/>
              <w:color w:val="000000"/>
            </w:rPr>
            <w:t>(Torres-Limiñana et al., 2022)</w:t>
          </w:r>
        </w:sdtContent>
      </w:sdt>
      <w:r w:rsidR="00422BC8" w:rsidRPr="00E46DDF">
        <w:rPr>
          <w:rFonts w:eastAsiaTheme="minorEastAsia"/>
        </w:rPr>
        <w:t>.</w:t>
      </w:r>
      <w:r w:rsidR="00DB2E46" w:rsidRPr="00E46DDF">
        <w:rPr>
          <w:rFonts w:eastAsiaTheme="minorEastAsia"/>
        </w:rPr>
        <w:t xml:space="preserve"> </w:t>
      </w:r>
      <w:r w:rsidRPr="00E46DDF">
        <w:rPr>
          <w:rFonts w:eastAsiaTheme="minorEastAsia"/>
        </w:rPr>
        <w:t>The</w:t>
      </w:r>
      <w:r w:rsidRPr="00322605">
        <w:rPr>
          <w:rFonts w:eastAsiaTheme="minorEastAsia"/>
        </w:rPr>
        <w:t xml:space="preserve"> method provides excellent levels of purity, homogeneity, control of stoichiometry and composition, ease of processing, and the ability to make complex shapes </w:t>
      </w:r>
      <w:sdt>
        <w:sdtPr>
          <w:rPr>
            <w:rFonts w:eastAsiaTheme="minorEastAsia"/>
            <w:color w:val="000000"/>
          </w:rPr>
          <w:tag w:val="MENDELEY_CITATION_v3_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"/>
          <w:id w:val="2085572439"/>
          <w:placeholder>
            <w:docPart w:val="DefaultPlaceholder_-1854013440"/>
          </w:placeholder>
        </w:sdtPr>
        <w:sdtContent>
          <w:r w:rsidR="00E46DDF" w:rsidRPr="00E46DDF">
            <w:rPr>
              <w:rFonts w:eastAsiaTheme="minorEastAsia"/>
              <w:color w:val="000000"/>
            </w:rPr>
            <w:t>(Mashuri et al., 2020)</w:t>
          </w:r>
        </w:sdtContent>
      </w:sdt>
      <w:r w:rsidR="00C5263B">
        <w:rPr>
          <w:rFonts w:eastAsiaTheme="minorEastAsia"/>
        </w:rPr>
        <w:t xml:space="preserve">. </w:t>
      </w:r>
      <w:r w:rsidRPr="00322605">
        <w:rPr>
          <w:rFonts w:eastAsiaTheme="minorEastAsia"/>
        </w:rPr>
        <w:t xml:space="preserve">Disadvantages, however, include the possibility of particle agglomeration after calcination at high </w:t>
      </w:r>
      <w:r w:rsidR="008E0ED9">
        <w:rPr>
          <w:rFonts w:eastAsiaTheme="minorEastAsia"/>
        </w:rPr>
        <w:t>temperatures</w:t>
      </w:r>
      <w:r w:rsidRPr="00322605">
        <w:rPr>
          <w:rFonts w:eastAsiaTheme="minorEastAsia"/>
        </w:rPr>
        <w:t xml:space="preserve">, which can cause a significant decrease in photocatalytic activity. </w:t>
      </w:r>
    </w:p>
    <w:p w14:paraId="2092D340" w14:textId="777E355A" w:rsidR="004A105C" w:rsidRDefault="000D347C" w:rsidP="00A93083">
      <w:pPr>
        <w:pStyle w:val="CETBodytext"/>
        <w:rPr>
          <w:rFonts w:eastAsiaTheme="minorEastAsia"/>
        </w:rPr>
      </w:pPr>
      <w:r w:rsidRPr="00E834AB">
        <w:rPr>
          <w:rFonts w:eastAsiaTheme="minorEastAsia"/>
        </w:rPr>
        <w:t>A</w:t>
      </w:r>
      <w:r w:rsidR="004A105C" w:rsidRPr="00E834AB">
        <w:rPr>
          <w:rFonts w:eastAsiaTheme="minorEastAsia"/>
        </w:rPr>
        <w:t xml:space="preserve">mong the most common </w:t>
      </w:r>
      <w:r w:rsidRPr="00E834AB">
        <w:rPr>
          <w:rFonts w:eastAsiaTheme="minorEastAsia"/>
        </w:rPr>
        <w:t xml:space="preserve">doping agent, </w:t>
      </w:r>
      <w:r w:rsidR="004A105C" w:rsidRPr="00E834AB">
        <w:rPr>
          <w:rFonts w:eastAsiaTheme="minorEastAsia"/>
        </w:rPr>
        <w:t xml:space="preserve">iron </w:t>
      </w:r>
      <w:r w:rsidRPr="00E834AB">
        <w:rPr>
          <w:rFonts w:eastAsiaTheme="minorEastAsia"/>
        </w:rPr>
        <w:t>was selected, since, according to previous work</w:t>
      </w:r>
      <w:r w:rsidR="00E834AB">
        <w:rPr>
          <w:rFonts w:eastAsiaTheme="minorEastAsia"/>
        </w:rPr>
        <w:t xml:space="preserve"> </w:t>
      </w:r>
      <w:sdt>
        <w:sdtPr>
          <w:rPr>
            <w:rFonts w:eastAsiaTheme="minorEastAsia"/>
            <w:color w:val="000000"/>
          </w:rPr>
          <w:tag w:val="MENDELEY_CITATION_v3_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"/>
          <w:id w:val="1815983011"/>
          <w:placeholder>
            <w:docPart w:val="DefaultPlaceholder_-1854013440"/>
          </w:placeholder>
        </w:sdtPr>
        <w:sdtContent>
          <w:r w:rsidR="00E46DDF" w:rsidRPr="00E46DDF">
            <w:rPr>
              <w:rFonts w:eastAsiaTheme="minorEastAsia"/>
              <w:color w:val="000000"/>
            </w:rPr>
            <w:t>(Ahmed et al., 2013)</w:t>
          </w:r>
        </w:sdtContent>
      </w:sdt>
      <w:r w:rsidR="00C5263B">
        <w:rPr>
          <w:rFonts w:eastAsiaTheme="minorEastAsia"/>
          <w:color w:val="000000"/>
        </w:rPr>
        <w:t xml:space="preserve"> </w:t>
      </w:r>
      <w:r w:rsidR="004A105C" w:rsidRPr="00E834AB">
        <w:rPr>
          <w:rFonts w:eastAsiaTheme="minorEastAsia"/>
        </w:rPr>
        <w:t xml:space="preserve">is an inexpensive but effective material therefore in this work different synthesis strategies </w:t>
      </w:r>
      <w:bookmarkEnd w:id="1"/>
      <w:r w:rsidR="008E0ED9" w:rsidRPr="00E834AB">
        <w:rPr>
          <w:rFonts w:eastAsiaTheme="minorEastAsia"/>
        </w:rPr>
        <w:t>have been attempted with this material and synthesis with silver and strontium has also been attempted for comparison.</w:t>
      </w:r>
    </w:p>
    <w:p w14:paraId="511C721B" w14:textId="63D562EB" w:rsidR="00435092" w:rsidRDefault="00435092" w:rsidP="00435092">
      <w:pPr>
        <w:pStyle w:val="CETHeading1"/>
      </w:pPr>
      <w:r>
        <w:t>Materials and methods</w:t>
      </w:r>
    </w:p>
    <w:p w14:paraId="2BB7FCF7" w14:textId="1F9EADA5" w:rsidR="00435092" w:rsidRPr="00B57B36" w:rsidRDefault="00435092" w:rsidP="00DB683A">
      <w:pPr>
        <w:pStyle w:val="CETheadingx"/>
      </w:pPr>
      <w:r>
        <w:t>Chemicals</w:t>
      </w:r>
    </w:p>
    <w:p w14:paraId="54D00250" w14:textId="04CC2A13" w:rsidR="00C066CF" w:rsidRDefault="00C066CF" w:rsidP="00C066CF">
      <w:pPr>
        <w:pStyle w:val="CETBodytext"/>
      </w:pPr>
      <w:r>
        <w:t>Titanium diisopropoxide bis-acetylacetonate (75% in isopropanol</w:t>
      </w:r>
      <w:r w:rsidR="006A60F0">
        <w:t>, Alfa Aesar</w:t>
      </w:r>
      <w:r>
        <w:t>), Titanium dioxide Degussa P25 (P25) with purity of 99.9</w:t>
      </w:r>
      <w:r w:rsidRPr="006A60F0">
        <w:t>% and particle size &lt;41 nm</w:t>
      </w:r>
      <w:r w:rsidR="006A60F0">
        <w:t xml:space="preserve"> Sigma Aldrich</w:t>
      </w:r>
      <w:r w:rsidRPr="006A60F0">
        <w:t>, ethanol (</w:t>
      </w:r>
      <w:r w:rsidR="006A60F0">
        <w:t xml:space="preserve">Honeywell, </w:t>
      </w:r>
      <w:r w:rsidRPr="006A60F0">
        <w:t>absolute, &gt;99.8%), hexahydrated ferric chloride (FeCl</w:t>
      </w:r>
      <w:r w:rsidRPr="006A60F0">
        <w:rPr>
          <w:vertAlign w:val="subscript"/>
        </w:rPr>
        <w:t>3</w:t>
      </w:r>
      <w:r w:rsidRPr="006A60F0">
        <w:t>*6H</w:t>
      </w:r>
      <w:r w:rsidRPr="006A60F0">
        <w:rPr>
          <w:vertAlign w:val="subscript"/>
        </w:rPr>
        <w:t>2</w:t>
      </w:r>
      <w:r w:rsidRPr="006A60F0">
        <w:t>O</w:t>
      </w:r>
      <w:r w:rsidR="006A60F0">
        <w:t>, Honeywell</w:t>
      </w:r>
      <w:r w:rsidRPr="006A60F0">
        <w:t>), ferrous chloride (FeCl</w:t>
      </w:r>
      <w:r w:rsidRPr="006A60F0">
        <w:rPr>
          <w:vertAlign w:val="subscript"/>
        </w:rPr>
        <w:t>2</w:t>
      </w:r>
      <w:r w:rsidR="006A60F0">
        <w:t>, Honeywell</w:t>
      </w:r>
      <w:r w:rsidRPr="006A60F0">
        <w:t>), strontium hydroxide (Sr(OH)</w:t>
      </w:r>
      <w:r w:rsidRPr="006A60F0">
        <w:rPr>
          <w:vertAlign w:val="subscript"/>
        </w:rPr>
        <w:t>2</w:t>
      </w:r>
      <w:r w:rsidR="006A60F0">
        <w:t xml:space="preserve">, </w:t>
      </w:r>
      <w:r w:rsidR="00E46F6D">
        <w:t>Sigma Aldrich</w:t>
      </w:r>
      <w:r w:rsidRPr="006A60F0">
        <w:t>), silver nitrate (AgNO</w:t>
      </w:r>
      <w:r w:rsidRPr="006A60F0">
        <w:rPr>
          <w:vertAlign w:val="subscript"/>
        </w:rPr>
        <w:t>3</w:t>
      </w:r>
      <w:r w:rsidR="006A60F0">
        <w:rPr>
          <w:vertAlign w:val="subscript"/>
        </w:rPr>
        <w:t xml:space="preserve">, </w:t>
      </w:r>
      <w:r w:rsidR="00E46F6D">
        <w:t>Sigma Aldrich</w:t>
      </w:r>
      <w:r w:rsidRPr="006A60F0">
        <w:t xml:space="preserve">), </w:t>
      </w:r>
      <w:r w:rsidR="00E55E83" w:rsidRPr="006A60F0">
        <w:t xml:space="preserve">hydrochloric acid </w:t>
      </w:r>
      <w:r w:rsidR="006A60F0">
        <w:t xml:space="preserve">(HCl 37% Honeywell) </w:t>
      </w:r>
      <w:r w:rsidR="00E55E83" w:rsidRPr="006A60F0">
        <w:t>and sodium hydroxide</w:t>
      </w:r>
      <w:r w:rsidR="006A60F0">
        <w:t xml:space="preserve"> </w:t>
      </w:r>
      <w:r w:rsidR="00E46F6D">
        <w:t>(NaOH, Honeywell)</w:t>
      </w:r>
      <w:r w:rsidR="00E55E83" w:rsidRPr="006A60F0">
        <w:t xml:space="preserve"> </w:t>
      </w:r>
      <w:r w:rsidRPr="006A60F0">
        <w:t>Methylene Blue (MB, C</w:t>
      </w:r>
      <w:r w:rsidRPr="006A60F0">
        <w:rPr>
          <w:vertAlign w:val="subscript"/>
        </w:rPr>
        <w:t>16</w:t>
      </w:r>
      <w:r w:rsidRPr="006A60F0">
        <w:t>H</w:t>
      </w:r>
      <w:r w:rsidRPr="006A60F0">
        <w:rPr>
          <w:vertAlign w:val="subscript"/>
        </w:rPr>
        <w:t>18</w:t>
      </w:r>
      <w:r w:rsidRPr="006A60F0">
        <w:t>N</w:t>
      </w:r>
      <w:r w:rsidRPr="006A60F0">
        <w:rPr>
          <w:vertAlign w:val="subscript"/>
        </w:rPr>
        <w:t>3</w:t>
      </w:r>
      <w:r w:rsidRPr="006A60F0">
        <w:t>SCl*3H</w:t>
      </w:r>
      <w:r w:rsidRPr="006A60F0">
        <w:rPr>
          <w:vertAlign w:val="subscript"/>
        </w:rPr>
        <w:t>2</w:t>
      </w:r>
      <w:r w:rsidRPr="006A60F0">
        <w:t>O</w:t>
      </w:r>
      <w:r w:rsidR="006A60F0">
        <w:t>, Sigma Aldrich</w:t>
      </w:r>
      <w:r w:rsidRPr="006A60F0">
        <w:t>). All the chemicals were used without any further purification. Demineralized water was</w:t>
      </w:r>
      <w:r w:rsidRPr="00435092">
        <w:t xml:space="preserve"> used as a solvent for both solutions.</w:t>
      </w:r>
    </w:p>
    <w:p w14:paraId="48E0E7B4" w14:textId="374D1943" w:rsidR="00D37B3B" w:rsidRDefault="00C066CF" w:rsidP="00DB683A">
      <w:pPr>
        <w:pStyle w:val="CETheadingx"/>
      </w:pPr>
      <w:r>
        <w:t>Photocatalyst synthesis</w:t>
      </w:r>
    </w:p>
    <w:p w14:paraId="552CDE9A" w14:textId="66F30D59" w:rsidR="00D37B3B" w:rsidRDefault="00C066CF" w:rsidP="00D37B3B">
      <w:pPr>
        <w:pStyle w:val="CETBodytext"/>
      </w:pPr>
      <w:r>
        <w:t xml:space="preserve">Titanium oxide (titania, </w:t>
      </w:r>
      <w:r w:rsidR="0012438B">
        <w:t>s</w:t>
      </w:r>
      <w:r>
        <w:t>TiO</w:t>
      </w:r>
      <w:r w:rsidRPr="00C066CF">
        <w:rPr>
          <w:vertAlign w:val="subscript"/>
        </w:rPr>
        <w:t>2</w:t>
      </w:r>
      <w:r>
        <w:t xml:space="preserve">) was synthesized </w:t>
      </w:r>
      <w:r w:rsidR="0012438B">
        <w:t xml:space="preserve">starting with </w:t>
      </w:r>
      <w:r w:rsidRPr="00C066CF">
        <w:t xml:space="preserve">7.1 mL of </w:t>
      </w:r>
      <w:r>
        <w:t>t</w:t>
      </w:r>
      <w:r w:rsidRPr="00C066CF">
        <w:t xml:space="preserve">itanium diisopropoxide bis-acetylacetonate (75% in isopropanol) </w:t>
      </w:r>
      <w:r>
        <w:t>in</w:t>
      </w:r>
      <w:r w:rsidRPr="00C066CF">
        <w:t xml:space="preserve"> 20 mL of ethanol mixed to form a homogenous solution</w:t>
      </w:r>
      <w:r w:rsidR="0012438B">
        <w:t>.</w:t>
      </w:r>
      <w:r w:rsidRPr="00C066CF">
        <w:t xml:space="preserve"> </w:t>
      </w:r>
      <w:r w:rsidR="0012438B">
        <w:t xml:space="preserve">The </w:t>
      </w:r>
      <w:r w:rsidRPr="00C066CF">
        <w:t xml:space="preserve">solution was added dropwise to 40 mL of deionized water and stirred for 4 h at 80 °C. </w:t>
      </w:r>
      <w:r w:rsidR="0012438B">
        <w:t>The</w:t>
      </w:r>
      <w:r w:rsidRPr="00C066CF">
        <w:t xml:space="preserve"> solid was washed several times with deionized water </w:t>
      </w:r>
      <w:r w:rsidR="0012438B">
        <w:t xml:space="preserve">using a centrifuge (10,000 rpm for 10 min) </w:t>
      </w:r>
      <w:r w:rsidRPr="00C066CF">
        <w:t>and then dried overnight in an oven at 60 °C. Finally, the solid was ground and calcined at 500 °C for 2 h.</w:t>
      </w:r>
    </w:p>
    <w:p w14:paraId="1F91E4F0" w14:textId="04F6311A" w:rsidR="00015C0C" w:rsidRDefault="00015C0C" w:rsidP="00015C0C">
      <w:pPr>
        <w:pStyle w:val="CETBodytext"/>
      </w:pPr>
      <w:r>
        <w:t>T</w:t>
      </w:r>
      <w:r w:rsidRPr="00015C0C">
        <w:t xml:space="preserve">itania doping was performed </w:t>
      </w:r>
      <w:r>
        <w:t>with both sTiO</w:t>
      </w:r>
      <w:r w:rsidRPr="00015C0C">
        <w:rPr>
          <w:vertAlign w:val="subscript"/>
        </w:rPr>
        <w:t>2</w:t>
      </w:r>
      <w:r>
        <w:t xml:space="preserve"> and</w:t>
      </w:r>
      <w:r w:rsidRPr="00015C0C">
        <w:t xml:space="preserve"> P25 via hydrothermal and via </w:t>
      </w:r>
      <w:r>
        <w:t>“solid-state” methods: for this first type of doping, conducted via hydrothermal, titania and an iron precursor, FeCl</w:t>
      </w:r>
      <w:r w:rsidRPr="003B30EF">
        <w:rPr>
          <w:vertAlign w:val="subscript"/>
        </w:rPr>
        <w:t>3</w:t>
      </w:r>
      <w:r>
        <w:t>*6H</w:t>
      </w:r>
      <w:r w:rsidRPr="003B30EF">
        <w:rPr>
          <w:vertAlign w:val="subscript"/>
        </w:rPr>
        <w:t>2</w:t>
      </w:r>
      <w:r>
        <w:t>O, dosed to meet the Ti:Fe ratio of 7:2, dissolved in water, was stirred to have a homogeneous suspension to which a 2M NaOH solution was added. The resulting product was placed in an autoclave at 160°C for 6 hours.</w:t>
      </w:r>
    </w:p>
    <w:p w14:paraId="1554069F" w14:textId="217302F0" w:rsidR="00015C0C" w:rsidRDefault="00015C0C" w:rsidP="00015C0C">
      <w:pPr>
        <w:pStyle w:val="CETBodytext"/>
      </w:pPr>
      <w:r>
        <w:t xml:space="preserve">Finally, it was washed, dried in </w:t>
      </w:r>
      <w:r w:rsidR="003B30EF">
        <w:t xml:space="preserve">an </w:t>
      </w:r>
      <w:r>
        <w:t>oven (60 °C for one night), grinded</w:t>
      </w:r>
      <w:r w:rsidR="003B30EF">
        <w:t>,</w:t>
      </w:r>
      <w:r>
        <w:t xml:space="preserve"> and calcined in a muffle at 500°C for 2 hours.</w:t>
      </w:r>
      <w:r w:rsidR="00B877CB">
        <w:t xml:space="preserve"> W</w:t>
      </w:r>
      <w:r w:rsidR="00B877CB" w:rsidRPr="00B877CB">
        <w:t>ere then obtained the solid</w:t>
      </w:r>
      <w:r w:rsidR="00B877CB">
        <w:t>s Fe</w:t>
      </w:r>
      <w:r w:rsidR="00B877CB" w:rsidRPr="00B877CB">
        <w:rPr>
          <w:vertAlign w:val="subscript"/>
        </w:rPr>
        <w:t>2</w:t>
      </w:r>
      <w:r w:rsidR="00B877CB">
        <w:t>O</w:t>
      </w:r>
      <w:r w:rsidR="00B877CB" w:rsidRPr="00B877CB">
        <w:rPr>
          <w:vertAlign w:val="subscript"/>
        </w:rPr>
        <w:t>3</w:t>
      </w:r>
      <w:r w:rsidR="00B877CB">
        <w:t>/TiO</w:t>
      </w:r>
      <w:r w:rsidR="00B877CB" w:rsidRPr="00B877CB">
        <w:rPr>
          <w:vertAlign w:val="subscript"/>
        </w:rPr>
        <w:t>2</w:t>
      </w:r>
      <w:r w:rsidR="00B877CB">
        <w:t xml:space="preserve"> and Fe</w:t>
      </w:r>
      <w:r w:rsidR="00B877CB" w:rsidRPr="00B877CB">
        <w:rPr>
          <w:vertAlign w:val="subscript"/>
        </w:rPr>
        <w:t>2</w:t>
      </w:r>
      <w:r w:rsidR="00B877CB">
        <w:t>O</w:t>
      </w:r>
      <w:r w:rsidR="00B877CB" w:rsidRPr="00B877CB">
        <w:rPr>
          <w:vertAlign w:val="subscript"/>
        </w:rPr>
        <w:t>3</w:t>
      </w:r>
      <w:r w:rsidR="00B877CB">
        <w:t>/P25.</w:t>
      </w:r>
    </w:p>
    <w:p w14:paraId="6BB25292" w14:textId="522AA449" w:rsidR="00B877CB" w:rsidRDefault="00B877CB" w:rsidP="00015C0C">
      <w:pPr>
        <w:pStyle w:val="CETBodytext"/>
      </w:pPr>
      <w:r w:rsidRPr="00B877CB">
        <w:t xml:space="preserve">For doping via solid state, titania (both </w:t>
      </w:r>
      <w:r>
        <w:t>sTiO</w:t>
      </w:r>
      <w:r w:rsidRPr="00B877CB">
        <w:rPr>
          <w:vertAlign w:val="subscript"/>
        </w:rPr>
        <w:t>2</w:t>
      </w:r>
      <w:r w:rsidRPr="00B877CB">
        <w:t xml:space="preserve"> and </w:t>
      </w:r>
      <w:r>
        <w:t>P25</w:t>
      </w:r>
      <w:r w:rsidRPr="00B877CB">
        <w:t>) was g</w:t>
      </w:r>
      <w:r>
        <w:t>rinded</w:t>
      </w:r>
      <w:r w:rsidRPr="00B877CB">
        <w:t xml:space="preserve"> in a mortar with enough FeCl</w:t>
      </w:r>
      <w:r w:rsidRPr="00B877CB">
        <w:rPr>
          <w:vertAlign w:val="subscript"/>
        </w:rPr>
        <w:t>3</w:t>
      </w:r>
      <w:r w:rsidRPr="00B877CB">
        <w:t>*6H</w:t>
      </w:r>
      <w:r w:rsidRPr="00B877CB">
        <w:rPr>
          <w:vertAlign w:val="subscript"/>
        </w:rPr>
        <w:t>2</w:t>
      </w:r>
      <w:r w:rsidRPr="00B877CB">
        <w:t xml:space="preserve">O to obtain 1% iron by weight relative to titania. Once a homogeneous mixture </w:t>
      </w:r>
      <w:r w:rsidR="003B30EF">
        <w:t>has obtained</w:t>
      </w:r>
      <w:r w:rsidRPr="00B877CB">
        <w:t xml:space="preserve"> the sample</w:t>
      </w:r>
      <w:r>
        <w:t>s</w:t>
      </w:r>
      <w:r w:rsidRPr="00B877CB">
        <w:t xml:space="preserve"> </w:t>
      </w:r>
      <w:r>
        <w:t>were</w:t>
      </w:r>
      <w:r w:rsidRPr="00B877CB">
        <w:t xml:space="preserve"> calcined at 600°C for 3h. After calcination</w:t>
      </w:r>
      <w:r w:rsidR="003B30EF">
        <w:t>,</w:t>
      </w:r>
      <w:r w:rsidRPr="00B877CB">
        <w:t xml:space="preserve"> they were gr</w:t>
      </w:r>
      <w:r w:rsidR="00904CF8">
        <w:t>inded</w:t>
      </w:r>
      <w:r w:rsidRPr="00B877CB">
        <w:t xml:space="preserve"> again</w:t>
      </w:r>
      <w:r w:rsidR="00904CF8">
        <w:t xml:space="preserve"> for obtain the catalysts 1%Fe-TiO</w:t>
      </w:r>
      <w:r w:rsidR="00904CF8" w:rsidRPr="00904CF8">
        <w:rPr>
          <w:vertAlign w:val="subscript"/>
        </w:rPr>
        <w:t>2</w:t>
      </w:r>
      <w:r w:rsidR="00904CF8">
        <w:t xml:space="preserve"> and 1%Fe-P25.</w:t>
      </w:r>
    </w:p>
    <w:p w14:paraId="32121BA4" w14:textId="559FF2E3" w:rsidR="00441E5F" w:rsidRDefault="00441E5F" w:rsidP="00441E5F">
      <w:pPr>
        <w:pStyle w:val="CETBodytext"/>
      </w:pPr>
      <w:r>
        <w:t>The synthesis of titania doped with magnetite (Fe</w:t>
      </w:r>
      <w:r w:rsidRPr="00441E5F">
        <w:rPr>
          <w:vertAlign w:val="subscript"/>
        </w:rPr>
        <w:t>3</w:t>
      </w:r>
      <w:r>
        <w:t>O</w:t>
      </w:r>
      <w:r w:rsidRPr="00441E5F">
        <w:rPr>
          <w:vertAlign w:val="subscript"/>
        </w:rPr>
        <w:t>4</w:t>
      </w:r>
      <w:r>
        <w:t xml:space="preserve">) was </w:t>
      </w:r>
      <w:r w:rsidR="000D347C">
        <w:t xml:space="preserve">carried out </w:t>
      </w:r>
      <w:r>
        <w:t xml:space="preserve">using bis(acetylacetonate) diisopropoxide of Ti at 75 wt% in isopropanol dissolved in ethanol, added dropwise in aqueous suspension with magnetite at 80 °C (to comply with the Ti:Fe ratio of 7:2) and kept in constant stirring for 4 hours. </w:t>
      </w:r>
    </w:p>
    <w:p w14:paraId="7BBB3CB7" w14:textId="524DB5F0" w:rsidR="00441E5F" w:rsidRDefault="00441E5F" w:rsidP="00441E5F">
      <w:pPr>
        <w:pStyle w:val="CETBodytext"/>
      </w:pPr>
      <w:r>
        <w:t>Magnetite was previously synthesized by solubilizing 3 g of FeCl</w:t>
      </w:r>
      <w:r w:rsidRPr="00441E5F">
        <w:rPr>
          <w:vertAlign w:val="subscript"/>
        </w:rPr>
        <w:t>3</w:t>
      </w:r>
      <w:r>
        <w:t>*6H</w:t>
      </w:r>
      <w:r w:rsidRPr="00441E5F">
        <w:rPr>
          <w:vertAlign w:val="subscript"/>
        </w:rPr>
        <w:t>2</w:t>
      </w:r>
      <w:r>
        <w:t>O and 2.1 g of FeCl</w:t>
      </w:r>
      <w:r w:rsidRPr="00441E5F">
        <w:rPr>
          <w:vertAlign w:val="subscript"/>
        </w:rPr>
        <w:t>2</w:t>
      </w:r>
      <w:r>
        <w:t xml:space="preserve"> in 150 ml of 0.2 M HCl and precipitating with 50 ml of 2 M NaOH.</w:t>
      </w:r>
    </w:p>
    <w:p w14:paraId="3B7BD69F" w14:textId="7435C8D3" w:rsidR="00441E5F" w:rsidRDefault="000D347C" w:rsidP="00441E5F">
      <w:pPr>
        <w:pStyle w:val="CETBodytext"/>
      </w:pPr>
      <w:r>
        <w:t>However, such</w:t>
      </w:r>
      <w:r w:rsidR="00441E5F">
        <w:t xml:space="preserve"> synthesis method was not successful because two separate solid phases were obtained.</w:t>
      </w:r>
    </w:p>
    <w:p w14:paraId="73B516E5" w14:textId="241EF0BF" w:rsidR="00181D88" w:rsidRDefault="00181D88" w:rsidP="00870D45">
      <w:pPr>
        <w:pStyle w:val="CETBodytext"/>
      </w:pPr>
      <w:r>
        <w:t xml:space="preserve">The synthesis of titania doped with </w:t>
      </w:r>
      <w:r w:rsidR="001B1CBA">
        <w:t>Ag</w:t>
      </w:r>
      <w:r>
        <w:t xml:space="preserve"> and </w:t>
      </w:r>
      <w:r w:rsidR="001B1CBA">
        <w:t>Sr</w:t>
      </w:r>
      <w:r>
        <w:t xml:space="preserve"> (</w:t>
      </w:r>
      <w:r w:rsidR="001B1CBA">
        <w:t>Ag</w:t>
      </w:r>
      <w:r>
        <w:t>/</w:t>
      </w:r>
      <w:r w:rsidR="001B1CBA">
        <w:t>Sr</w:t>
      </w:r>
      <w:r>
        <w:t>-TiO</w:t>
      </w:r>
      <w:r w:rsidRPr="00181D88">
        <w:rPr>
          <w:vertAlign w:val="subscript"/>
        </w:rPr>
        <w:t>2</w:t>
      </w:r>
      <w:r>
        <w:t>) was carried out</w:t>
      </w:r>
      <w:r w:rsidR="00870D45">
        <w:t xml:space="preserve"> using solution of </w:t>
      </w:r>
      <w:r w:rsidR="00533E52">
        <w:t>7.1</w:t>
      </w:r>
      <w:r w:rsidR="00870D45">
        <w:t xml:space="preserve"> ml Ti(IV) diisopropoxide and 50 ml absolute ethanol to which 200 ml water pH 1.5 (with hydrochloric acid) was added drop by drop under constant stirring. Then 5 ml of AgNO</w:t>
      </w:r>
      <w:r w:rsidR="00870D45" w:rsidRPr="00870D45">
        <w:rPr>
          <w:vertAlign w:val="subscript"/>
        </w:rPr>
        <w:t>3</w:t>
      </w:r>
      <w:r w:rsidR="00870D45">
        <w:t xml:space="preserve"> and Sr(OH)</w:t>
      </w:r>
      <w:r w:rsidR="00870D45" w:rsidRPr="00870D45">
        <w:rPr>
          <w:vertAlign w:val="subscript"/>
        </w:rPr>
        <w:t>2</w:t>
      </w:r>
      <w:r w:rsidR="00870D45">
        <w:t xml:space="preserve"> 0.2 mol/L were added drop by drop under constant stirring. 5 ml of water containing 50 mmol hydrazine was added to the solution and stirred for 30 min. Then the suspension was sonicated at 80 MHz for 90 min and </w:t>
      </w:r>
      <w:r w:rsidR="0008065B">
        <w:t>dried</w:t>
      </w:r>
      <w:r w:rsidR="00870D45">
        <w:t xml:space="preserve"> at 100 °C in an oven for 24 h. Finally calcined at 500 °C for 5 h.</w:t>
      </w:r>
    </w:p>
    <w:p w14:paraId="422C36F5" w14:textId="4E66491A" w:rsidR="00441E5F" w:rsidRDefault="00870D45" w:rsidP="00441E5F">
      <w:pPr>
        <w:pStyle w:val="CETBodytext"/>
      </w:pPr>
      <w:r>
        <w:t>B</w:t>
      </w:r>
      <w:r w:rsidRPr="00870D45">
        <w:t xml:space="preserve">elow is a table </w:t>
      </w:r>
      <w:r>
        <w:t xml:space="preserve">(Table 1) </w:t>
      </w:r>
      <w:r w:rsidRPr="00870D45">
        <w:t xml:space="preserve">summarizing all the </w:t>
      </w:r>
      <w:r w:rsidR="000D347C">
        <w:t>synthesis</w:t>
      </w:r>
      <w:r w:rsidR="000D347C" w:rsidRPr="00870D45">
        <w:t xml:space="preserve"> </w:t>
      </w:r>
      <w:r w:rsidRPr="00870D45">
        <w:t>performed</w:t>
      </w:r>
      <w:r>
        <w:t>:</w:t>
      </w:r>
    </w:p>
    <w:p w14:paraId="11D7CD52" w14:textId="77777777" w:rsidR="0008065B" w:rsidRDefault="0008065B" w:rsidP="00441E5F">
      <w:pPr>
        <w:pStyle w:val="CETBodytext"/>
      </w:pPr>
    </w:p>
    <w:p w14:paraId="65D52222" w14:textId="48E7D67F" w:rsidR="001D6C18" w:rsidRDefault="001D6C18" w:rsidP="001D6C18">
      <w:pPr>
        <w:pStyle w:val="CETTabletitle"/>
      </w:pPr>
      <w:r w:rsidRPr="00B57B36">
        <w:lastRenderedPageBreak/>
        <w:t xml:space="preserve">Table 1: </w:t>
      </w:r>
      <w:r w:rsidR="00870D45" w:rsidRPr="00870D45">
        <w:t xml:space="preserve">All syntheses attempted </w:t>
      </w:r>
    </w:p>
    <w:tbl>
      <w:tblPr>
        <w:tblW w:w="8827" w:type="dxa"/>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1843"/>
        <w:gridCol w:w="1222"/>
        <w:gridCol w:w="1370"/>
        <w:gridCol w:w="1102"/>
        <w:gridCol w:w="1247"/>
        <w:gridCol w:w="2043"/>
      </w:tblGrid>
      <w:tr w:rsidR="00D5546A" w:rsidRPr="00B57B36" w14:paraId="4C500086" w14:textId="77777777" w:rsidTr="00A13C64">
        <w:tc>
          <w:tcPr>
            <w:tcW w:w="1843" w:type="dxa"/>
            <w:tcBorders>
              <w:top w:val="single" w:sz="12" w:space="0" w:color="008000"/>
              <w:bottom w:val="single" w:sz="6" w:space="0" w:color="008000"/>
            </w:tcBorders>
            <w:shd w:val="clear" w:color="auto" w:fill="FFFFFF"/>
          </w:tcPr>
          <w:p w14:paraId="7B373197" w14:textId="64117EED" w:rsidR="00D5546A" w:rsidRPr="00A13C64" w:rsidRDefault="00D5546A" w:rsidP="002F091A">
            <w:pPr>
              <w:pStyle w:val="CETBodytext"/>
              <w:rPr>
                <w:b/>
                <w:bCs/>
                <w:lang w:val="en-GB"/>
              </w:rPr>
            </w:pPr>
            <w:r w:rsidRPr="00A13C64">
              <w:rPr>
                <w:b/>
                <w:bCs/>
                <w:lang w:val="en-GB"/>
              </w:rPr>
              <w:t xml:space="preserve">Catalyst </w:t>
            </w:r>
          </w:p>
        </w:tc>
        <w:tc>
          <w:tcPr>
            <w:tcW w:w="1222" w:type="dxa"/>
            <w:tcBorders>
              <w:top w:val="single" w:sz="12" w:space="0" w:color="008000"/>
              <w:bottom w:val="single" w:sz="6" w:space="0" w:color="008000"/>
            </w:tcBorders>
            <w:shd w:val="clear" w:color="auto" w:fill="FFFFFF"/>
          </w:tcPr>
          <w:p w14:paraId="0F7675DB" w14:textId="404260A6" w:rsidR="00D5546A" w:rsidRPr="00A13C64" w:rsidRDefault="00D5546A" w:rsidP="002F091A">
            <w:pPr>
              <w:pStyle w:val="CETBodytext"/>
              <w:rPr>
                <w:b/>
                <w:bCs/>
                <w:lang w:val="en-GB"/>
              </w:rPr>
            </w:pPr>
            <w:r w:rsidRPr="00A13C64">
              <w:rPr>
                <w:b/>
                <w:bCs/>
                <w:lang w:val="en-GB"/>
              </w:rPr>
              <w:t>Titania (sTiO</w:t>
            </w:r>
            <w:r w:rsidRPr="00A13C64">
              <w:rPr>
                <w:b/>
                <w:bCs/>
                <w:vertAlign w:val="subscript"/>
                <w:lang w:val="en-GB"/>
              </w:rPr>
              <w:t>2</w:t>
            </w:r>
            <w:r w:rsidRPr="00A13C64">
              <w:rPr>
                <w:b/>
                <w:bCs/>
                <w:lang w:val="en-GB"/>
              </w:rPr>
              <w:t>)</w:t>
            </w:r>
          </w:p>
        </w:tc>
        <w:tc>
          <w:tcPr>
            <w:tcW w:w="1370" w:type="dxa"/>
            <w:tcBorders>
              <w:top w:val="single" w:sz="12" w:space="0" w:color="008000"/>
              <w:bottom w:val="single" w:sz="6" w:space="0" w:color="008000"/>
            </w:tcBorders>
            <w:shd w:val="clear" w:color="auto" w:fill="FFFFFF"/>
          </w:tcPr>
          <w:p w14:paraId="7FF0817E" w14:textId="749DA61C" w:rsidR="00D5546A" w:rsidRPr="00A13C64" w:rsidRDefault="00D5546A" w:rsidP="002F091A">
            <w:pPr>
              <w:pStyle w:val="CETBodytext"/>
              <w:rPr>
                <w:b/>
                <w:bCs/>
                <w:lang w:val="en-GB"/>
              </w:rPr>
            </w:pPr>
            <w:r w:rsidRPr="00A13C64">
              <w:rPr>
                <w:b/>
                <w:bCs/>
                <w:lang w:val="en-GB"/>
              </w:rPr>
              <w:t>TiO</w:t>
            </w:r>
            <w:r w:rsidRPr="00A13C64">
              <w:rPr>
                <w:b/>
                <w:bCs/>
                <w:vertAlign w:val="subscript"/>
                <w:lang w:val="en-GB"/>
              </w:rPr>
              <w:t>2</w:t>
            </w:r>
            <w:r w:rsidRPr="00A13C64">
              <w:rPr>
                <w:b/>
                <w:bCs/>
                <w:lang w:val="en-GB"/>
              </w:rPr>
              <w:t>/Fe</w:t>
            </w:r>
            <w:r w:rsidRPr="00A13C64">
              <w:rPr>
                <w:b/>
                <w:bCs/>
                <w:vertAlign w:val="subscript"/>
                <w:lang w:val="en-GB"/>
              </w:rPr>
              <w:t>3</w:t>
            </w:r>
            <w:r w:rsidRPr="00A13C64">
              <w:rPr>
                <w:b/>
                <w:bCs/>
                <w:lang w:val="en-GB"/>
              </w:rPr>
              <w:t>O</w:t>
            </w:r>
            <w:r w:rsidRPr="00A13C64">
              <w:rPr>
                <w:b/>
                <w:bCs/>
                <w:vertAlign w:val="subscript"/>
                <w:lang w:val="en-GB"/>
              </w:rPr>
              <w:t>4</w:t>
            </w:r>
          </w:p>
        </w:tc>
        <w:tc>
          <w:tcPr>
            <w:tcW w:w="1102" w:type="dxa"/>
            <w:tcBorders>
              <w:top w:val="single" w:sz="12" w:space="0" w:color="008000"/>
              <w:bottom w:val="single" w:sz="6" w:space="0" w:color="008000"/>
            </w:tcBorders>
            <w:shd w:val="clear" w:color="auto" w:fill="FFFFFF"/>
          </w:tcPr>
          <w:p w14:paraId="4E93F9BF" w14:textId="6C8398AA" w:rsidR="00D5546A" w:rsidRPr="00A13C64" w:rsidRDefault="00D5546A" w:rsidP="002F091A">
            <w:pPr>
              <w:pStyle w:val="CETBodytext"/>
              <w:rPr>
                <w:b/>
                <w:bCs/>
                <w:lang w:val="en-GB"/>
              </w:rPr>
            </w:pPr>
            <w:r w:rsidRPr="00A13C64">
              <w:rPr>
                <w:b/>
                <w:bCs/>
                <w:lang w:val="en-GB"/>
              </w:rPr>
              <w:t xml:space="preserve"> TiO</w:t>
            </w:r>
            <w:r w:rsidRPr="00A13C64">
              <w:rPr>
                <w:b/>
                <w:bCs/>
                <w:vertAlign w:val="subscript"/>
                <w:lang w:val="en-GB"/>
              </w:rPr>
              <w:t>2</w:t>
            </w:r>
            <w:r w:rsidRPr="00A13C64">
              <w:rPr>
                <w:b/>
                <w:bCs/>
                <w:lang w:val="en-GB"/>
              </w:rPr>
              <w:t>/Fe</w:t>
            </w:r>
            <w:r w:rsidRPr="00A13C64">
              <w:rPr>
                <w:b/>
                <w:bCs/>
                <w:vertAlign w:val="subscript"/>
                <w:lang w:val="en-GB"/>
              </w:rPr>
              <w:t>2</w:t>
            </w:r>
            <w:r w:rsidRPr="00A13C64">
              <w:rPr>
                <w:b/>
                <w:bCs/>
                <w:lang w:val="en-GB"/>
              </w:rPr>
              <w:t>O</w:t>
            </w:r>
            <w:r w:rsidRPr="00A13C64">
              <w:rPr>
                <w:b/>
                <w:bCs/>
                <w:vertAlign w:val="subscript"/>
                <w:lang w:val="en-GB"/>
              </w:rPr>
              <w:t>3</w:t>
            </w:r>
            <w:r w:rsidRPr="00A13C64">
              <w:rPr>
                <w:b/>
                <w:bCs/>
                <w:lang w:val="en-GB"/>
              </w:rPr>
              <w:t xml:space="preserve"> </w:t>
            </w:r>
          </w:p>
        </w:tc>
        <w:tc>
          <w:tcPr>
            <w:tcW w:w="1247" w:type="dxa"/>
            <w:tcBorders>
              <w:top w:val="single" w:sz="12" w:space="0" w:color="008000"/>
              <w:bottom w:val="single" w:sz="6" w:space="0" w:color="008000"/>
            </w:tcBorders>
            <w:shd w:val="clear" w:color="auto" w:fill="FFFFFF"/>
          </w:tcPr>
          <w:p w14:paraId="47D24BB4" w14:textId="0F0841A2" w:rsidR="00D5546A" w:rsidRPr="00A13C64" w:rsidRDefault="00870D45" w:rsidP="002F091A">
            <w:pPr>
              <w:pStyle w:val="CETBodytext"/>
              <w:ind w:right="-1"/>
              <w:rPr>
                <w:b/>
                <w:bCs/>
                <w:lang w:val="en-GB"/>
              </w:rPr>
            </w:pPr>
            <w:r w:rsidRPr="00A13C64">
              <w:rPr>
                <w:b/>
                <w:bCs/>
                <w:lang w:val="en-GB"/>
              </w:rPr>
              <w:t>1%</w:t>
            </w:r>
            <w:r w:rsidR="00D5546A" w:rsidRPr="00A13C64">
              <w:rPr>
                <w:b/>
                <w:bCs/>
                <w:lang w:val="en-GB"/>
              </w:rPr>
              <w:t>Fe-TiO</w:t>
            </w:r>
            <w:r w:rsidR="00D5546A" w:rsidRPr="00A13C64">
              <w:rPr>
                <w:b/>
                <w:bCs/>
                <w:vertAlign w:val="subscript"/>
                <w:lang w:val="en-GB"/>
              </w:rPr>
              <w:t>2</w:t>
            </w:r>
          </w:p>
        </w:tc>
        <w:tc>
          <w:tcPr>
            <w:tcW w:w="2043" w:type="dxa"/>
            <w:tcBorders>
              <w:top w:val="single" w:sz="12" w:space="0" w:color="008000"/>
              <w:bottom w:val="single" w:sz="6" w:space="0" w:color="008000"/>
            </w:tcBorders>
            <w:shd w:val="clear" w:color="auto" w:fill="FFFFFF"/>
          </w:tcPr>
          <w:p w14:paraId="3A9345CA" w14:textId="33952688" w:rsidR="00D5546A" w:rsidRPr="00A13C64" w:rsidRDefault="00D5546A" w:rsidP="002F091A">
            <w:pPr>
              <w:pStyle w:val="CETBodytext"/>
              <w:ind w:right="-1"/>
              <w:rPr>
                <w:rFonts w:cs="Arial"/>
                <w:b/>
                <w:bCs/>
                <w:szCs w:val="18"/>
                <w:lang w:val="en-GB"/>
              </w:rPr>
            </w:pPr>
            <w:r w:rsidRPr="00A13C64">
              <w:rPr>
                <w:b/>
                <w:bCs/>
                <w:lang w:val="en-GB"/>
              </w:rPr>
              <w:t xml:space="preserve"> </w:t>
            </w:r>
            <w:r w:rsidR="001B1CBA">
              <w:rPr>
                <w:b/>
                <w:bCs/>
                <w:lang w:val="en-GB"/>
              </w:rPr>
              <w:t>Ag</w:t>
            </w:r>
            <w:r w:rsidRPr="00A13C64">
              <w:rPr>
                <w:b/>
                <w:bCs/>
                <w:lang w:val="en-GB"/>
              </w:rPr>
              <w:t>/</w:t>
            </w:r>
            <w:r w:rsidR="001B1CBA">
              <w:rPr>
                <w:b/>
                <w:bCs/>
                <w:lang w:val="en-GB"/>
              </w:rPr>
              <w:t>Sr</w:t>
            </w:r>
            <w:r w:rsidRPr="00A13C64">
              <w:rPr>
                <w:b/>
                <w:bCs/>
                <w:lang w:val="en-GB"/>
              </w:rPr>
              <w:t>-TiO</w:t>
            </w:r>
            <w:r w:rsidRPr="00A13C64">
              <w:rPr>
                <w:b/>
                <w:bCs/>
                <w:vertAlign w:val="subscript"/>
                <w:lang w:val="en-GB"/>
              </w:rPr>
              <w:t>2</w:t>
            </w:r>
            <w:r w:rsidRPr="00A13C64">
              <w:rPr>
                <w:b/>
                <w:bCs/>
                <w:lang w:val="en-GB"/>
              </w:rPr>
              <w:t xml:space="preserve"> </w:t>
            </w:r>
          </w:p>
        </w:tc>
      </w:tr>
      <w:tr w:rsidR="0008065B" w:rsidRPr="00B57B36" w14:paraId="414EA11A" w14:textId="77777777" w:rsidTr="00A13C64">
        <w:tc>
          <w:tcPr>
            <w:tcW w:w="1843" w:type="dxa"/>
            <w:shd w:val="clear" w:color="auto" w:fill="FFFFFF"/>
          </w:tcPr>
          <w:p w14:paraId="131BFE6E" w14:textId="011C8F7F" w:rsidR="0008065B" w:rsidRPr="00A13C64" w:rsidRDefault="0008065B" w:rsidP="0008065B">
            <w:pPr>
              <w:pStyle w:val="CETBodytext"/>
              <w:rPr>
                <w:b/>
                <w:bCs/>
                <w:lang w:val="en-GB"/>
              </w:rPr>
            </w:pPr>
            <w:r w:rsidRPr="00A13C64">
              <w:rPr>
                <w:b/>
                <w:bCs/>
                <w:lang w:val="en-GB"/>
              </w:rPr>
              <w:t>Reagents/Precursors</w:t>
            </w:r>
          </w:p>
          <w:p w14:paraId="3FB9A7F2" w14:textId="2EB2C3C8" w:rsidR="0008065B" w:rsidRPr="00A13C64" w:rsidRDefault="0008065B" w:rsidP="0008065B">
            <w:pPr>
              <w:pStyle w:val="CETBodytext"/>
              <w:rPr>
                <w:b/>
                <w:bCs/>
                <w:lang w:val="en-GB"/>
              </w:rPr>
            </w:pPr>
          </w:p>
          <w:p w14:paraId="1B0D932B" w14:textId="77777777" w:rsidR="0008065B" w:rsidRPr="00A13C64" w:rsidRDefault="0008065B" w:rsidP="0008065B">
            <w:pPr>
              <w:pStyle w:val="CETBodytext"/>
              <w:rPr>
                <w:b/>
                <w:bCs/>
                <w:lang w:val="en-GB"/>
              </w:rPr>
            </w:pPr>
          </w:p>
          <w:p w14:paraId="54F1A224" w14:textId="335D9A62" w:rsidR="0008065B" w:rsidRPr="00A13C64" w:rsidRDefault="0008065B" w:rsidP="0008065B">
            <w:pPr>
              <w:pStyle w:val="CETBodytext"/>
              <w:rPr>
                <w:b/>
                <w:bCs/>
                <w:lang w:val="en-GB"/>
              </w:rPr>
            </w:pPr>
            <w:r w:rsidRPr="00A13C64">
              <w:rPr>
                <w:b/>
                <w:bCs/>
                <w:lang w:val="en-GB"/>
              </w:rPr>
              <w:t>Reaction conditions</w:t>
            </w:r>
          </w:p>
          <w:p w14:paraId="28F87513" w14:textId="77777777" w:rsidR="0008065B" w:rsidRPr="00A13C64" w:rsidRDefault="0008065B" w:rsidP="0008065B">
            <w:pPr>
              <w:pStyle w:val="CETBodytext"/>
              <w:rPr>
                <w:b/>
                <w:bCs/>
                <w:lang w:val="en-GB"/>
              </w:rPr>
            </w:pPr>
          </w:p>
          <w:p w14:paraId="1299DA6F" w14:textId="77777777" w:rsidR="0008065B" w:rsidRPr="00A13C64" w:rsidRDefault="0008065B" w:rsidP="0008065B">
            <w:pPr>
              <w:pStyle w:val="CETBodytext"/>
              <w:rPr>
                <w:b/>
                <w:bCs/>
                <w:lang w:val="en-GB"/>
              </w:rPr>
            </w:pPr>
            <w:r w:rsidRPr="00A13C64">
              <w:rPr>
                <w:b/>
                <w:bCs/>
                <w:lang w:val="en-GB"/>
              </w:rPr>
              <w:t>Molar ratio</w:t>
            </w:r>
          </w:p>
          <w:p w14:paraId="3430E288" w14:textId="26A7E8C7" w:rsidR="0008065B" w:rsidRPr="00A13C64" w:rsidRDefault="0008065B" w:rsidP="0008065B">
            <w:pPr>
              <w:pStyle w:val="CETBodytext"/>
              <w:rPr>
                <w:b/>
                <w:bCs/>
                <w:lang w:val="en-GB"/>
              </w:rPr>
            </w:pPr>
          </w:p>
        </w:tc>
        <w:tc>
          <w:tcPr>
            <w:tcW w:w="1222" w:type="dxa"/>
            <w:shd w:val="clear" w:color="auto" w:fill="FFFFFF"/>
          </w:tcPr>
          <w:p w14:paraId="4E4627B1" w14:textId="77777777" w:rsidR="0008065B" w:rsidRDefault="0008065B" w:rsidP="0008065B">
            <w:pPr>
              <w:pStyle w:val="CETBodytext"/>
            </w:pPr>
            <w:r>
              <w:t xml:space="preserve">Titanium diisopropoxide </w:t>
            </w:r>
          </w:p>
          <w:p w14:paraId="295A576F" w14:textId="77777777" w:rsidR="0008065B" w:rsidRDefault="0008065B" w:rsidP="0008065B">
            <w:pPr>
              <w:pStyle w:val="CETBodytext"/>
            </w:pPr>
          </w:p>
          <w:p w14:paraId="3559EED4" w14:textId="09F9815B" w:rsidR="0008065B" w:rsidRDefault="0008065B" w:rsidP="0008065B">
            <w:pPr>
              <w:pStyle w:val="CETBodytext"/>
              <w:rPr>
                <w:lang w:val="en-GB"/>
              </w:rPr>
            </w:pPr>
            <w:r>
              <w:rPr>
                <w:lang w:val="en-GB"/>
              </w:rPr>
              <w:t>80 °C- 4 h</w:t>
            </w:r>
          </w:p>
          <w:p w14:paraId="43E4413F" w14:textId="77777777" w:rsidR="0008065B" w:rsidRDefault="0008065B" w:rsidP="0008065B">
            <w:pPr>
              <w:pStyle w:val="CETBodytext"/>
              <w:rPr>
                <w:lang w:val="en-GB"/>
              </w:rPr>
            </w:pPr>
          </w:p>
          <w:p w14:paraId="526F4AAE" w14:textId="4B2B5971" w:rsidR="0008065B" w:rsidRPr="00B57B36" w:rsidRDefault="0008065B" w:rsidP="0008065B">
            <w:pPr>
              <w:pStyle w:val="CETBodytext"/>
              <w:rPr>
                <w:lang w:val="en-GB"/>
              </w:rPr>
            </w:pPr>
            <w:r>
              <w:rPr>
                <w:lang w:val="en-GB"/>
              </w:rPr>
              <w:t>-</w:t>
            </w:r>
          </w:p>
        </w:tc>
        <w:tc>
          <w:tcPr>
            <w:tcW w:w="1370" w:type="dxa"/>
            <w:shd w:val="clear" w:color="auto" w:fill="FFFFFF"/>
          </w:tcPr>
          <w:p w14:paraId="25871FC1" w14:textId="77777777" w:rsidR="0008065B" w:rsidRDefault="0008065B" w:rsidP="0008065B">
            <w:pPr>
              <w:pStyle w:val="CETBodytext"/>
              <w:rPr>
                <w:vertAlign w:val="subscript"/>
              </w:rPr>
            </w:pPr>
            <w:r>
              <w:t>Titanium diisopropoxide/ FeCl</w:t>
            </w:r>
            <w:r w:rsidRPr="0008065B">
              <w:rPr>
                <w:vertAlign w:val="subscript"/>
              </w:rPr>
              <w:t>2</w:t>
            </w:r>
            <w:r>
              <w:t xml:space="preserve"> FeCl</w:t>
            </w:r>
            <w:r w:rsidRPr="0008065B">
              <w:rPr>
                <w:vertAlign w:val="subscript"/>
              </w:rPr>
              <w:t>3</w:t>
            </w:r>
          </w:p>
          <w:p w14:paraId="4BD9F41F" w14:textId="012D401D" w:rsidR="0008065B" w:rsidRDefault="0008065B" w:rsidP="0008065B">
            <w:pPr>
              <w:pStyle w:val="CETBodytext"/>
              <w:rPr>
                <w:lang w:val="en-GB"/>
              </w:rPr>
            </w:pPr>
            <w:r>
              <w:rPr>
                <w:lang w:val="en-GB"/>
              </w:rPr>
              <w:t>80 °C- 4 h</w:t>
            </w:r>
          </w:p>
          <w:p w14:paraId="40013921" w14:textId="77777777" w:rsidR="0008065B" w:rsidRDefault="0008065B" w:rsidP="0008065B">
            <w:pPr>
              <w:pStyle w:val="CETBodytext"/>
              <w:rPr>
                <w:lang w:val="en-GB"/>
              </w:rPr>
            </w:pPr>
          </w:p>
          <w:p w14:paraId="73D1E80B" w14:textId="0E5C644F" w:rsidR="0008065B" w:rsidRDefault="0008065B" w:rsidP="0008065B">
            <w:pPr>
              <w:pStyle w:val="CETBodytext"/>
              <w:rPr>
                <w:lang w:val="en-GB"/>
              </w:rPr>
            </w:pPr>
            <w:proofErr w:type="gramStart"/>
            <w:r>
              <w:rPr>
                <w:lang w:val="en-GB"/>
              </w:rPr>
              <w:t>Ti:Fe</w:t>
            </w:r>
            <w:proofErr w:type="gramEnd"/>
            <w:r>
              <w:rPr>
                <w:lang w:val="en-GB"/>
              </w:rPr>
              <w:t xml:space="preserve"> =7:2</w:t>
            </w:r>
          </w:p>
        </w:tc>
        <w:tc>
          <w:tcPr>
            <w:tcW w:w="1102" w:type="dxa"/>
            <w:shd w:val="clear" w:color="auto" w:fill="FFFFFF"/>
          </w:tcPr>
          <w:p w14:paraId="3C1CF06C" w14:textId="77777777" w:rsidR="0008065B" w:rsidRDefault="0008065B" w:rsidP="0008065B">
            <w:pPr>
              <w:pStyle w:val="CETBodytext"/>
              <w:rPr>
                <w:lang w:val="en-GB"/>
              </w:rPr>
            </w:pPr>
            <w:r>
              <w:rPr>
                <w:lang w:val="en-GB"/>
              </w:rPr>
              <w:t>P25/sTiO</w:t>
            </w:r>
            <w:r w:rsidRPr="0008065B">
              <w:rPr>
                <w:vertAlign w:val="subscript"/>
                <w:lang w:val="en-GB"/>
              </w:rPr>
              <w:t>2</w:t>
            </w:r>
          </w:p>
          <w:p w14:paraId="037A7C6D" w14:textId="3D404463" w:rsidR="0008065B" w:rsidRDefault="0008065B" w:rsidP="0008065B">
            <w:pPr>
              <w:pStyle w:val="CETBodytext"/>
              <w:rPr>
                <w:lang w:val="en-GB"/>
              </w:rPr>
            </w:pPr>
            <w:r>
              <w:rPr>
                <w:lang w:val="en-GB"/>
              </w:rPr>
              <w:t>FeCl</w:t>
            </w:r>
            <w:r w:rsidRPr="0008065B">
              <w:rPr>
                <w:vertAlign w:val="subscript"/>
                <w:lang w:val="en-GB"/>
              </w:rPr>
              <w:t>3</w:t>
            </w:r>
            <w:r>
              <w:rPr>
                <w:lang w:val="en-GB"/>
              </w:rPr>
              <w:t xml:space="preserve"> FeCl</w:t>
            </w:r>
            <w:r w:rsidRPr="0008065B">
              <w:rPr>
                <w:vertAlign w:val="subscript"/>
                <w:lang w:val="en-GB"/>
              </w:rPr>
              <w:t>2</w:t>
            </w:r>
          </w:p>
          <w:p w14:paraId="0E36BADA" w14:textId="77777777" w:rsidR="0008065B" w:rsidRDefault="0008065B" w:rsidP="0008065B">
            <w:pPr>
              <w:pStyle w:val="CETBodytext"/>
              <w:rPr>
                <w:lang w:val="en-GB"/>
              </w:rPr>
            </w:pPr>
          </w:p>
          <w:p w14:paraId="64AAEFFF" w14:textId="5C876D8F" w:rsidR="0008065B" w:rsidRDefault="0008065B" w:rsidP="0008065B">
            <w:pPr>
              <w:pStyle w:val="CETBodytext"/>
              <w:rPr>
                <w:lang w:val="en-GB"/>
              </w:rPr>
            </w:pPr>
            <w:r>
              <w:rPr>
                <w:lang w:val="en-GB"/>
              </w:rPr>
              <w:t>160 °C- 6 h</w:t>
            </w:r>
          </w:p>
          <w:p w14:paraId="5282DB8B" w14:textId="77777777" w:rsidR="0008065B" w:rsidRDefault="0008065B" w:rsidP="0008065B">
            <w:pPr>
              <w:pStyle w:val="CETBodytext"/>
              <w:rPr>
                <w:lang w:val="en-GB"/>
              </w:rPr>
            </w:pPr>
          </w:p>
          <w:p w14:paraId="1290D5CC" w14:textId="31A42154" w:rsidR="0008065B" w:rsidRPr="00B57B36" w:rsidRDefault="0008065B" w:rsidP="0008065B">
            <w:pPr>
              <w:pStyle w:val="CETBodytext"/>
              <w:rPr>
                <w:lang w:val="en-GB"/>
              </w:rPr>
            </w:pPr>
            <w:proofErr w:type="gramStart"/>
            <w:r>
              <w:rPr>
                <w:lang w:val="en-GB"/>
              </w:rPr>
              <w:t>Ti:Fe</w:t>
            </w:r>
            <w:proofErr w:type="gramEnd"/>
            <w:r>
              <w:rPr>
                <w:lang w:val="en-GB"/>
              </w:rPr>
              <w:t xml:space="preserve"> =7:2</w:t>
            </w:r>
          </w:p>
        </w:tc>
        <w:tc>
          <w:tcPr>
            <w:tcW w:w="1247" w:type="dxa"/>
            <w:shd w:val="clear" w:color="auto" w:fill="FFFFFF"/>
          </w:tcPr>
          <w:p w14:paraId="22550302" w14:textId="77777777" w:rsidR="0008065B" w:rsidRDefault="0008065B" w:rsidP="0008065B">
            <w:pPr>
              <w:pStyle w:val="CETBodytext"/>
              <w:rPr>
                <w:lang w:val="en-GB"/>
              </w:rPr>
            </w:pPr>
            <w:r>
              <w:rPr>
                <w:lang w:val="en-GB"/>
              </w:rPr>
              <w:t>P25/sTiO</w:t>
            </w:r>
            <w:r w:rsidRPr="0008065B">
              <w:rPr>
                <w:vertAlign w:val="subscript"/>
                <w:lang w:val="en-GB"/>
              </w:rPr>
              <w:t>2</w:t>
            </w:r>
          </w:p>
          <w:p w14:paraId="32611B06" w14:textId="05817EFA" w:rsidR="0008065B" w:rsidRDefault="0008065B" w:rsidP="0008065B">
            <w:pPr>
              <w:pStyle w:val="CETBodytext"/>
              <w:rPr>
                <w:vertAlign w:val="subscript"/>
                <w:lang w:val="en-GB"/>
              </w:rPr>
            </w:pPr>
            <w:r>
              <w:rPr>
                <w:lang w:val="en-GB"/>
              </w:rPr>
              <w:t>FeCl</w:t>
            </w:r>
            <w:r w:rsidRPr="0008065B">
              <w:rPr>
                <w:vertAlign w:val="subscript"/>
                <w:lang w:val="en-GB"/>
              </w:rPr>
              <w:t>3</w:t>
            </w:r>
          </w:p>
          <w:p w14:paraId="53F0EB80" w14:textId="77777777" w:rsidR="0008065B" w:rsidRDefault="0008065B" w:rsidP="0008065B">
            <w:pPr>
              <w:pStyle w:val="CETBodytext"/>
              <w:rPr>
                <w:lang w:val="en-GB"/>
              </w:rPr>
            </w:pPr>
          </w:p>
          <w:p w14:paraId="18140A97" w14:textId="77777777" w:rsidR="0008065B" w:rsidRDefault="0008065B" w:rsidP="0008065B">
            <w:pPr>
              <w:pStyle w:val="CETBodytext"/>
              <w:ind w:right="-1"/>
              <w:rPr>
                <w:rFonts w:cs="Arial"/>
                <w:szCs w:val="18"/>
                <w:lang w:val="en-GB"/>
              </w:rPr>
            </w:pPr>
            <w:r w:rsidRPr="0008065B">
              <w:rPr>
                <w:rFonts w:cs="Arial"/>
                <w:szCs w:val="18"/>
                <w:lang w:val="en-GB"/>
              </w:rPr>
              <w:t>mechanical grinding</w:t>
            </w:r>
          </w:p>
          <w:p w14:paraId="7E0A5FB4" w14:textId="59D7BDB7" w:rsidR="0008065B" w:rsidRDefault="0008065B" w:rsidP="0008065B">
            <w:pPr>
              <w:pStyle w:val="CETBodytext"/>
              <w:ind w:right="-1"/>
              <w:rPr>
                <w:rFonts w:cs="Arial"/>
                <w:szCs w:val="18"/>
                <w:lang w:val="en-GB"/>
              </w:rPr>
            </w:pPr>
            <w:proofErr w:type="gramStart"/>
            <w:r>
              <w:rPr>
                <w:lang w:val="en-GB"/>
              </w:rPr>
              <w:t>Ti:Fe</w:t>
            </w:r>
            <w:proofErr w:type="gramEnd"/>
            <w:r>
              <w:rPr>
                <w:lang w:val="en-GB"/>
              </w:rPr>
              <w:t xml:space="preserve"> =100:1</w:t>
            </w:r>
          </w:p>
        </w:tc>
        <w:tc>
          <w:tcPr>
            <w:tcW w:w="2043" w:type="dxa"/>
            <w:shd w:val="clear" w:color="auto" w:fill="FFFFFF"/>
          </w:tcPr>
          <w:p w14:paraId="7E248846" w14:textId="3634C145" w:rsidR="0008065B" w:rsidRDefault="0008065B" w:rsidP="001E7ECF">
            <w:pPr>
              <w:pStyle w:val="CETBodytext"/>
              <w:ind w:right="-1"/>
              <w:jc w:val="left"/>
              <w:rPr>
                <w:rFonts w:cs="Arial"/>
                <w:szCs w:val="18"/>
                <w:lang w:val="en-GB"/>
              </w:rPr>
            </w:pPr>
            <w:r>
              <w:t>Titanium diisopropoxide, AgNO</w:t>
            </w:r>
            <w:r w:rsidRPr="0008065B">
              <w:rPr>
                <w:vertAlign w:val="subscript"/>
              </w:rPr>
              <w:t>3</w:t>
            </w:r>
            <w:r>
              <w:t xml:space="preserve"> Sr(OH)</w:t>
            </w:r>
            <w:r w:rsidRPr="0008065B">
              <w:rPr>
                <w:vertAlign w:val="subscript"/>
              </w:rPr>
              <w:t>2</w:t>
            </w:r>
            <w:r>
              <w:t xml:space="preserve"> </w:t>
            </w:r>
          </w:p>
          <w:p w14:paraId="7E9F8B03" w14:textId="77777777" w:rsidR="001E7ECF" w:rsidRDefault="001E7ECF" w:rsidP="001E7ECF">
            <w:pPr>
              <w:pStyle w:val="CETBodytext"/>
              <w:ind w:right="-1"/>
              <w:jc w:val="left"/>
              <w:rPr>
                <w:rFonts w:cs="Arial"/>
                <w:szCs w:val="18"/>
                <w:lang w:val="en-GB"/>
              </w:rPr>
            </w:pPr>
          </w:p>
          <w:p w14:paraId="1AC5DFA2" w14:textId="77777777" w:rsidR="0008065B" w:rsidRDefault="001E7ECF" w:rsidP="001E7ECF">
            <w:pPr>
              <w:pStyle w:val="CETBodytext"/>
              <w:ind w:right="-1"/>
              <w:jc w:val="left"/>
              <w:rPr>
                <w:rFonts w:cs="Arial"/>
                <w:szCs w:val="18"/>
                <w:lang w:val="en-GB"/>
              </w:rPr>
            </w:pPr>
            <w:r>
              <w:rPr>
                <w:rFonts w:cs="Arial"/>
                <w:szCs w:val="18"/>
                <w:lang w:val="en-GB"/>
              </w:rPr>
              <w:t>Room temperature, hydrazine</w:t>
            </w:r>
          </w:p>
          <w:p w14:paraId="0F14B89D" w14:textId="658121DF" w:rsidR="001E7ECF" w:rsidRPr="00B57B36" w:rsidRDefault="001E7ECF" w:rsidP="001E7ECF">
            <w:pPr>
              <w:pStyle w:val="CETBodytext"/>
              <w:ind w:right="-1"/>
              <w:jc w:val="left"/>
              <w:rPr>
                <w:rFonts w:cs="Arial"/>
                <w:szCs w:val="18"/>
                <w:lang w:val="en-GB"/>
              </w:rPr>
            </w:pPr>
            <w:proofErr w:type="gramStart"/>
            <w:r>
              <w:rPr>
                <w:rFonts w:cs="Arial"/>
                <w:szCs w:val="18"/>
                <w:lang w:val="en-GB"/>
              </w:rPr>
              <w:t>Ti:Sr</w:t>
            </w:r>
            <w:proofErr w:type="gramEnd"/>
            <w:r>
              <w:rPr>
                <w:rFonts w:cs="Arial"/>
                <w:szCs w:val="18"/>
                <w:lang w:val="en-GB"/>
              </w:rPr>
              <w:t>:Ag =</w:t>
            </w:r>
            <w:r w:rsidR="00A13C64">
              <w:rPr>
                <w:rFonts w:cs="Arial"/>
                <w:szCs w:val="18"/>
                <w:lang w:val="en-GB"/>
              </w:rPr>
              <w:t>7:1:1</w:t>
            </w:r>
          </w:p>
        </w:tc>
      </w:tr>
      <w:tr w:rsidR="001E7ECF" w:rsidRPr="00B57B36" w14:paraId="516D5215" w14:textId="77777777" w:rsidTr="00A13C64">
        <w:tc>
          <w:tcPr>
            <w:tcW w:w="1843" w:type="dxa"/>
            <w:shd w:val="clear" w:color="auto" w:fill="FFFFFF"/>
          </w:tcPr>
          <w:p w14:paraId="00874A86" w14:textId="303140C6" w:rsidR="001E7ECF" w:rsidRPr="00A13C64" w:rsidRDefault="001E7ECF" w:rsidP="001E7ECF">
            <w:pPr>
              <w:pStyle w:val="CETBodytext"/>
              <w:ind w:right="-1"/>
              <w:rPr>
                <w:rFonts w:cs="Arial"/>
                <w:b/>
                <w:bCs/>
                <w:szCs w:val="18"/>
                <w:lang w:val="en-GB"/>
              </w:rPr>
            </w:pPr>
            <w:r w:rsidRPr="00A13C64">
              <w:rPr>
                <w:rFonts w:cs="Arial"/>
                <w:b/>
                <w:bCs/>
                <w:szCs w:val="18"/>
                <w:lang w:val="en-GB"/>
              </w:rPr>
              <w:t>Calcination step</w:t>
            </w:r>
          </w:p>
        </w:tc>
        <w:tc>
          <w:tcPr>
            <w:tcW w:w="1222" w:type="dxa"/>
            <w:shd w:val="clear" w:color="auto" w:fill="FFFFFF"/>
          </w:tcPr>
          <w:p w14:paraId="6142B59E" w14:textId="2D2084EC" w:rsidR="001E7ECF" w:rsidRPr="00B57B36" w:rsidRDefault="001E7ECF" w:rsidP="001E7ECF">
            <w:pPr>
              <w:pStyle w:val="CETBodytext"/>
              <w:ind w:right="-1"/>
              <w:rPr>
                <w:rFonts w:cs="Arial"/>
                <w:szCs w:val="18"/>
                <w:lang w:val="en-GB"/>
              </w:rPr>
            </w:pPr>
            <w:r>
              <w:rPr>
                <w:rFonts w:cs="Arial"/>
                <w:szCs w:val="18"/>
                <w:lang w:val="en-GB"/>
              </w:rPr>
              <w:t>500 °C – 2 h</w:t>
            </w:r>
          </w:p>
        </w:tc>
        <w:tc>
          <w:tcPr>
            <w:tcW w:w="1370" w:type="dxa"/>
            <w:shd w:val="clear" w:color="auto" w:fill="FFFFFF"/>
          </w:tcPr>
          <w:p w14:paraId="1B6714C2" w14:textId="0D91EB76" w:rsidR="001E7ECF" w:rsidRDefault="001E7ECF" w:rsidP="001E7ECF">
            <w:pPr>
              <w:pStyle w:val="CETBodytext"/>
              <w:ind w:right="-1"/>
              <w:rPr>
                <w:rFonts w:cs="Arial"/>
                <w:szCs w:val="18"/>
                <w:lang w:val="en-GB"/>
              </w:rPr>
            </w:pPr>
            <w:r>
              <w:rPr>
                <w:rFonts w:cs="Arial"/>
                <w:szCs w:val="18"/>
                <w:lang w:val="en-GB"/>
              </w:rPr>
              <w:t>-</w:t>
            </w:r>
          </w:p>
        </w:tc>
        <w:tc>
          <w:tcPr>
            <w:tcW w:w="1102" w:type="dxa"/>
            <w:shd w:val="clear" w:color="auto" w:fill="FFFFFF"/>
          </w:tcPr>
          <w:p w14:paraId="573E5E6B" w14:textId="67CDA024" w:rsidR="001E7ECF" w:rsidRPr="00B57B36" w:rsidRDefault="001E7ECF" w:rsidP="001E7ECF">
            <w:pPr>
              <w:pStyle w:val="CETBodytext"/>
              <w:ind w:right="-1"/>
              <w:rPr>
                <w:rFonts w:cs="Arial"/>
                <w:szCs w:val="18"/>
                <w:lang w:val="en-GB"/>
              </w:rPr>
            </w:pPr>
            <w:r>
              <w:rPr>
                <w:rFonts w:cs="Arial"/>
                <w:szCs w:val="18"/>
                <w:lang w:val="en-GB"/>
              </w:rPr>
              <w:t>500 °C – 2 h</w:t>
            </w:r>
          </w:p>
        </w:tc>
        <w:tc>
          <w:tcPr>
            <w:tcW w:w="1247" w:type="dxa"/>
            <w:shd w:val="clear" w:color="auto" w:fill="FFFFFF"/>
          </w:tcPr>
          <w:p w14:paraId="662EAD3E" w14:textId="6D5AE43C" w:rsidR="001E7ECF" w:rsidRDefault="001E7ECF" w:rsidP="001E7ECF">
            <w:pPr>
              <w:pStyle w:val="CETBodytext"/>
              <w:ind w:right="-1"/>
              <w:rPr>
                <w:rFonts w:cs="Arial"/>
                <w:szCs w:val="18"/>
                <w:lang w:val="en-GB"/>
              </w:rPr>
            </w:pPr>
            <w:r>
              <w:rPr>
                <w:rFonts w:cs="Arial"/>
                <w:szCs w:val="18"/>
                <w:lang w:val="en-GB"/>
              </w:rPr>
              <w:t>600 °C- 3 h</w:t>
            </w:r>
          </w:p>
        </w:tc>
        <w:tc>
          <w:tcPr>
            <w:tcW w:w="2043" w:type="dxa"/>
            <w:shd w:val="clear" w:color="auto" w:fill="FFFFFF"/>
          </w:tcPr>
          <w:p w14:paraId="416F8F5E" w14:textId="58ECE2A2" w:rsidR="001E7ECF" w:rsidRPr="00B57B36" w:rsidRDefault="001E7ECF" w:rsidP="001E7ECF">
            <w:pPr>
              <w:pStyle w:val="CETBodytext"/>
              <w:ind w:right="-1"/>
              <w:rPr>
                <w:rFonts w:cs="Arial"/>
                <w:szCs w:val="18"/>
                <w:lang w:val="en-GB"/>
              </w:rPr>
            </w:pPr>
            <w:r>
              <w:rPr>
                <w:rFonts w:cs="Arial"/>
                <w:szCs w:val="18"/>
                <w:lang w:val="en-GB"/>
              </w:rPr>
              <w:t>500 °C – 3 h</w:t>
            </w:r>
          </w:p>
        </w:tc>
      </w:tr>
    </w:tbl>
    <w:p w14:paraId="0BCE0F8C" w14:textId="1B482D81" w:rsidR="001D6C18" w:rsidRDefault="00D920D2" w:rsidP="00D37B3B">
      <w:pPr>
        <w:pStyle w:val="CETBodytext"/>
      </w:pPr>
      <w:r w:rsidRPr="00D920D2">
        <w:rPr>
          <w:noProof/>
        </w:rPr>
        <w:drawing>
          <wp:anchor distT="0" distB="0" distL="114300" distR="114300" simplePos="0" relativeHeight="251689984" behindDoc="0" locked="0" layoutInCell="1" allowOverlap="1" wp14:anchorId="482D074B" wp14:editId="7BCE3349">
            <wp:simplePos x="0" y="0"/>
            <wp:positionH relativeFrom="margin">
              <wp:posOffset>2704172</wp:posOffset>
            </wp:positionH>
            <wp:positionV relativeFrom="paragraph">
              <wp:posOffset>139186</wp:posOffset>
            </wp:positionV>
            <wp:extent cx="2787961" cy="1348134"/>
            <wp:effectExtent l="0" t="0" r="0" b="4445"/>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87961" cy="1348134"/>
                    </a:xfrm>
                    <a:prstGeom prst="rect">
                      <a:avLst/>
                    </a:prstGeom>
                  </pic:spPr>
                </pic:pic>
              </a:graphicData>
            </a:graphic>
            <wp14:sizeRelH relativeFrom="margin">
              <wp14:pctWidth>0</wp14:pctWidth>
            </wp14:sizeRelH>
            <wp14:sizeRelV relativeFrom="margin">
              <wp14:pctHeight>0</wp14:pctHeight>
            </wp14:sizeRelV>
          </wp:anchor>
        </w:drawing>
      </w:r>
    </w:p>
    <w:p w14:paraId="56D3DC15" w14:textId="6A219F5D" w:rsidR="00810A4A" w:rsidRDefault="00810A4A" w:rsidP="00810A4A">
      <w:pPr>
        <w:pStyle w:val="CETBodytext"/>
        <w:rPr>
          <w:rStyle w:val="CETCaptionCarattere"/>
        </w:rPr>
      </w:pPr>
      <w:r w:rsidRPr="00810A4A">
        <w:rPr>
          <w:rStyle w:val="CETCaptionCarattere"/>
          <w:noProof/>
        </w:rPr>
        <mc:AlternateContent>
          <mc:Choice Requires="wps">
            <w:drawing>
              <wp:anchor distT="45720" distB="45720" distL="114300" distR="114300" simplePos="0" relativeHeight="251699200" behindDoc="0" locked="0" layoutInCell="1" allowOverlap="1" wp14:anchorId="5BBE03C1" wp14:editId="0B2D2703">
                <wp:simplePos x="0" y="0"/>
                <wp:positionH relativeFrom="column">
                  <wp:posOffset>4138246</wp:posOffset>
                </wp:positionH>
                <wp:positionV relativeFrom="paragraph">
                  <wp:posOffset>1072613</wp:posOffset>
                </wp:positionV>
                <wp:extent cx="298939" cy="1404620"/>
                <wp:effectExtent l="0" t="0" r="25400" b="21590"/>
                <wp:wrapNone/>
                <wp:docPr id="1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939" cy="1404620"/>
                        </a:xfrm>
                        <a:prstGeom prst="rect">
                          <a:avLst/>
                        </a:prstGeom>
                        <a:solidFill>
                          <a:srgbClr val="FFFFFF"/>
                        </a:solidFill>
                        <a:ln w="9525">
                          <a:solidFill>
                            <a:srgbClr val="000000"/>
                          </a:solidFill>
                          <a:miter lim="800000"/>
                          <a:headEnd/>
                          <a:tailEnd/>
                        </a:ln>
                      </wps:spPr>
                      <wps:txbx>
                        <w:txbxContent>
                          <w:p w14:paraId="2D5760A9" w14:textId="305EF301" w:rsidR="00810A4A" w:rsidRDefault="00810A4A" w:rsidP="00810A4A">
                            <w: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BBE03C1" id="_x0000_t202" coordsize="21600,21600" o:spt="202" path="m,l,21600r21600,l21600,xe">
                <v:stroke joinstyle="miter"/>
                <v:path gradientshapeok="t" o:connecttype="rect"/>
              </v:shapetype>
              <v:shape id="Casella di testo 2" o:spid="_x0000_s1026" type="#_x0000_t202" style="position:absolute;left:0;text-align:left;margin-left:325.85pt;margin-top:84.45pt;width:23.55pt;height:110.6pt;z-index:251699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">
                <v:textbox style="mso-fit-shape-to-text:t">
                  <w:txbxContent>
                    <w:p w14:paraId="2D5760A9" w14:textId="305EF301" w:rsidR="00810A4A" w:rsidRDefault="00810A4A" w:rsidP="00810A4A">
                      <w:r>
                        <w:t>d)</w:t>
                      </w:r>
                    </w:p>
                  </w:txbxContent>
                </v:textbox>
              </v:shape>
            </w:pict>
          </mc:Fallback>
        </mc:AlternateContent>
      </w:r>
      <w:r w:rsidRPr="00810A4A">
        <w:rPr>
          <w:rStyle w:val="CETCaptionCarattere"/>
          <w:noProof/>
        </w:rPr>
        <mc:AlternateContent>
          <mc:Choice Requires="wps">
            <w:drawing>
              <wp:anchor distT="45720" distB="45720" distL="114300" distR="114300" simplePos="0" relativeHeight="251697152" behindDoc="0" locked="0" layoutInCell="1" allowOverlap="1" wp14:anchorId="5D0DCB97" wp14:editId="51E5E0E1">
                <wp:simplePos x="0" y="0"/>
                <wp:positionH relativeFrom="column">
                  <wp:posOffset>2743200</wp:posOffset>
                </wp:positionH>
                <wp:positionV relativeFrom="paragraph">
                  <wp:posOffset>1074958</wp:posOffset>
                </wp:positionV>
                <wp:extent cx="298939" cy="1404620"/>
                <wp:effectExtent l="0" t="0" r="25400" b="2159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939" cy="1404620"/>
                        </a:xfrm>
                        <a:prstGeom prst="rect">
                          <a:avLst/>
                        </a:prstGeom>
                        <a:solidFill>
                          <a:srgbClr val="FFFFFF"/>
                        </a:solidFill>
                        <a:ln w="9525">
                          <a:solidFill>
                            <a:srgbClr val="000000"/>
                          </a:solidFill>
                          <a:miter lim="800000"/>
                          <a:headEnd/>
                          <a:tailEnd/>
                        </a:ln>
                      </wps:spPr>
                      <wps:txbx>
                        <w:txbxContent>
                          <w:p w14:paraId="53493E93" w14:textId="27DEA1A4" w:rsidR="00810A4A" w:rsidRDefault="00810A4A" w:rsidP="00810A4A">
                            <w: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0DCB97" id="_x0000_s1027" type="#_x0000_t202" style="position:absolute;left:0;text-align:left;margin-left:3in;margin-top:84.65pt;width:23.55pt;height:110.6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">
                <v:textbox style="mso-fit-shape-to-text:t">
                  <w:txbxContent>
                    <w:p w14:paraId="53493E93" w14:textId="27DEA1A4" w:rsidR="00810A4A" w:rsidRDefault="00810A4A" w:rsidP="00810A4A">
                      <w:r>
                        <w:t>c)</w:t>
                      </w:r>
                    </w:p>
                  </w:txbxContent>
                </v:textbox>
              </v:shape>
            </w:pict>
          </mc:Fallback>
        </mc:AlternateContent>
      </w:r>
      <w:r w:rsidRPr="00810A4A">
        <w:rPr>
          <w:rStyle w:val="CETCaptionCarattere"/>
          <w:noProof/>
        </w:rPr>
        <mc:AlternateContent>
          <mc:Choice Requires="wps">
            <w:drawing>
              <wp:anchor distT="45720" distB="45720" distL="114300" distR="114300" simplePos="0" relativeHeight="251695104" behindDoc="0" locked="0" layoutInCell="1" allowOverlap="1" wp14:anchorId="6620939B" wp14:editId="2BB52841">
                <wp:simplePos x="0" y="0"/>
                <wp:positionH relativeFrom="column">
                  <wp:posOffset>1424354</wp:posOffset>
                </wp:positionH>
                <wp:positionV relativeFrom="paragraph">
                  <wp:posOffset>1075983</wp:posOffset>
                </wp:positionV>
                <wp:extent cx="298939" cy="1404620"/>
                <wp:effectExtent l="0" t="0" r="25400" b="2159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939" cy="1404620"/>
                        </a:xfrm>
                        <a:prstGeom prst="rect">
                          <a:avLst/>
                        </a:prstGeom>
                        <a:solidFill>
                          <a:srgbClr val="FFFFFF"/>
                        </a:solidFill>
                        <a:ln w="9525">
                          <a:solidFill>
                            <a:srgbClr val="000000"/>
                          </a:solidFill>
                          <a:miter lim="800000"/>
                          <a:headEnd/>
                          <a:tailEnd/>
                        </a:ln>
                      </wps:spPr>
                      <wps:txbx>
                        <w:txbxContent>
                          <w:p w14:paraId="3475D16E" w14:textId="1F76BDAF" w:rsidR="00810A4A" w:rsidRDefault="00810A4A" w:rsidP="00810A4A">
                            <w: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20939B" id="_x0000_s1028" type="#_x0000_t202" style="position:absolute;left:0;text-align:left;margin-left:112.15pt;margin-top:84.7pt;width:23.55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">
                <v:textbox style="mso-fit-shape-to-text:t">
                  <w:txbxContent>
                    <w:p w14:paraId="3475D16E" w14:textId="1F76BDAF" w:rsidR="00810A4A" w:rsidRDefault="00810A4A" w:rsidP="00810A4A">
                      <w:r>
                        <w:t>b)</w:t>
                      </w:r>
                    </w:p>
                  </w:txbxContent>
                </v:textbox>
              </v:shape>
            </w:pict>
          </mc:Fallback>
        </mc:AlternateContent>
      </w:r>
      <w:r w:rsidRPr="00810A4A">
        <w:rPr>
          <w:rStyle w:val="CETCaptionCarattere"/>
          <w:noProof/>
        </w:rPr>
        <mc:AlternateContent>
          <mc:Choice Requires="wps">
            <w:drawing>
              <wp:anchor distT="45720" distB="45720" distL="114300" distR="114300" simplePos="0" relativeHeight="251693056" behindDoc="0" locked="0" layoutInCell="1" allowOverlap="1" wp14:anchorId="7AC2DA2E" wp14:editId="52EFABB5">
                <wp:simplePos x="0" y="0"/>
                <wp:positionH relativeFrom="column">
                  <wp:posOffset>27305</wp:posOffset>
                </wp:positionH>
                <wp:positionV relativeFrom="paragraph">
                  <wp:posOffset>1064748</wp:posOffset>
                </wp:positionV>
                <wp:extent cx="298939" cy="1404620"/>
                <wp:effectExtent l="0" t="0" r="25400" b="21590"/>
                <wp:wrapNone/>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939" cy="1404620"/>
                        </a:xfrm>
                        <a:prstGeom prst="rect">
                          <a:avLst/>
                        </a:prstGeom>
                        <a:solidFill>
                          <a:srgbClr val="FFFFFF"/>
                        </a:solidFill>
                        <a:ln w="9525">
                          <a:solidFill>
                            <a:srgbClr val="000000"/>
                          </a:solidFill>
                          <a:miter lim="800000"/>
                          <a:headEnd/>
                          <a:tailEnd/>
                        </a:ln>
                      </wps:spPr>
                      <wps:txbx>
                        <w:txbxContent>
                          <w:p w14:paraId="0733CE2F" w14:textId="2B14801D" w:rsidR="00810A4A" w:rsidRDefault="00810A4A">
                            <w: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C2DA2E" id="_x0000_s1029" type="#_x0000_t202" style="position:absolute;left:0;text-align:left;margin-left:2.15pt;margin-top:83.85pt;width:23.55pt;height:110.6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">
                <v:textbox style="mso-fit-shape-to-text:t">
                  <w:txbxContent>
                    <w:p w14:paraId="0733CE2F" w14:textId="2B14801D" w:rsidR="00810A4A" w:rsidRDefault="00810A4A">
                      <w:r>
                        <w:t>a)</w:t>
                      </w:r>
                    </w:p>
                  </w:txbxContent>
                </v:textbox>
              </v:shape>
            </w:pict>
          </mc:Fallback>
        </mc:AlternateContent>
      </w:r>
      <w:r w:rsidR="00D920D2" w:rsidRPr="00D920D2">
        <w:rPr>
          <w:noProof/>
        </w:rPr>
        <w:drawing>
          <wp:anchor distT="0" distB="0" distL="114300" distR="114300" simplePos="0" relativeHeight="251691008" behindDoc="0" locked="0" layoutInCell="1" allowOverlap="1" wp14:anchorId="444DADEC" wp14:editId="5DE3DDB1">
            <wp:simplePos x="0" y="0"/>
            <wp:positionH relativeFrom="column">
              <wp:posOffset>1374227</wp:posOffset>
            </wp:positionH>
            <wp:positionV relativeFrom="paragraph">
              <wp:posOffset>7376</wp:posOffset>
            </wp:positionV>
            <wp:extent cx="1320029" cy="1335893"/>
            <wp:effectExtent l="0" t="0" r="0" b="0"/>
            <wp:wrapNone/>
            <wp:docPr id="10" name="Immagine 10" descr="Immagine che contiene blu, torta, cioccolato, pezz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descr="Immagine che contiene blu, torta, cioccolato, pezzo&#10;&#10;Descrizione generata automaticamente"/>
                    <pic:cNvPicPr/>
                  </pic:nvPicPr>
                  <pic:blipFill>
                    <a:blip r:embed="rId11"/>
                    <a:stretch>
                      <a:fillRect/>
                    </a:stretch>
                  </pic:blipFill>
                  <pic:spPr>
                    <a:xfrm>
                      <a:off x="0" y="0"/>
                      <a:ext cx="1329128" cy="1345102"/>
                    </a:xfrm>
                    <a:prstGeom prst="rect">
                      <a:avLst/>
                    </a:prstGeom>
                  </pic:spPr>
                </pic:pic>
              </a:graphicData>
            </a:graphic>
            <wp14:sizeRelH relativeFrom="margin">
              <wp14:pctWidth>0</wp14:pctWidth>
            </wp14:sizeRelH>
            <wp14:sizeRelV relativeFrom="margin">
              <wp14:pctHeight>0</wp14:pctHeight>
            </wp14:sizeRelV>
          </wp:anchor>
        </w:drawing>
      </w:r>
      <w:r w:rsidR="00D920D2" w:rsidRPr="00D920D2">
        <w:rPr>
          <w:noProof/>
        </w:rPr>
        <w:drawing>
          <wp:inline distT="0" distB="0" distL="0" distR="0" wp14:anchorId="0E4C3CB0" wp14:editId="2DB6509E">
            <wp:extent cx="1363711" cy="1342293"/>
            <wp:effectExtent l="0" t="0" r="8255" b="0"/>
            <wp:docPr id="8" name="Immagine 8" descr="Immagine che contiene blu, contenitore, plasti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Immagine che contiene blu, contenitore, plastica&#10;&#10;Descrizione generata automaticamente"/>
                    <pic:cNvPicPr/>
                  </pic:nvPicPr>
                  <pic:blipFill>
                    <a:blip r:embed="rId12"/>
                    <a:stretch>
                      <a:fillRect/>
                    </a:stretch>
                  </pic:blipFill>
                  <pic:spPr>
                    <a:xfrm>
                      <a:off x="0" y="0"/>
                      <a:ext cx="1388346" cy="1366541"/>
                    </a:xfrm>
                    <a:prstGeom prst="rect">
                      <a:avLst/>
                    </a:prstGeom>
                  </pic:spPr>
                </pic:pic>
              </a:graphicData>
            </a:graphic>
          </wp:inline>
        </w:drawing>
      </w:r>
      <w:r w:rsidR="00D920D2" w:rsidRPr="00D920D2">
        <w:rPr>
          <w:noProof/>
        </w:rPr>
        <w:t xml:space="preserve"> </w:t>
      </w:r>
      <w:r w:rsidR="00D920D2">
        <w:br w:type="textWrapping" w:clear="all"/>
      </w:r>
    </w:p>
    <w:p w14:paraId="774888A4" w14:textId="6957D914" w:rsidR="00810A4A" w:rsidRPr="00C31216" w:rsidRDefault="00810A4A" w:rsidP="00810A4A">
      <w:pPr>
        <w:pStyle w:val="CETBodytext"/>
        <w:rPr>
          <w:i/>
          <w:lang w:val="en-GB"/>
        </w:rPr>
      </w:pPr>
      <w:r w:rsidRPr="00BD077D">
        <w:rPr>
          <w:rStyle w:val="CETCaptionCarattere"/>
        </w:rPr>
        <w:t xml:space="preserve">Figure </w:t>
      </w:r>
      <w:r w:rsidR="008F5204">
        <w:rPr>
          <w:rStyle w:val="CETCaptionCarattere"/>
        </w:rPr>
        <w:t>1</w:t>
      </w:r>
      <w:r w:rsidRPr="00BD077D">
        <w:rPr>
          <w:rStyle w:val="CETCaptionCarattere"/>
        </w:rPr>
        <w:t xml:space="preserve">: </w:t>
      </w:r>
      <w:r w:rsidR="0090142A">
        <w:rPr>
          <w:rStyle w:val="CETCaptionCarattere"/>
        </w:rPr>
        <w:t>A</w:t>
      </w:r>
      <w:r w:rsidR="009D4BF0" w:rsidRPr="009D4BF0">
        <w:rPr>
          <w:rStyle w:val="CETCaptionCarattere"/>
        </w:rPr>
        <w:t>ll synthesized materials</w:t>
      </w:r>
      <w:r w:rsidR="009D4BF0">
        <w:rPr>
          <w:rStyle w:val="CETCaptionCarattere"/>
        </w:rPr>
        <w:t>: a) pure titania (sTiO</w:t>
      </w:r>
      <w:r w:rsidR="009D4BF0" w:rsidRPr="009D4BF0">
        <w:rPr>
          <w:rStyle w:val="CETCaptionCarattere"/>
          <w:vertAlign w:val="subscript"/>
        </w:rPr>
        <w:t>2</w:t>
      </w:r>
      <w:r w:rsidR="009D4BF0">
        <w:rPr>
          <w:rStyle w:val="CETCaptionCarattere"/>
        </w:rPr>
        <w:t>), b) titania doped by strontium and silver (Ag/Sr-TiO</w:t>
      </w:r>
      <w:r w:rsidR="009D4BF0" w:rsidRPr="009D4BF0">
        <w:rPr>
          <w:rStyle w:val="CETCaptionCarattere"/>
          <w:vertAlign w:val="subscript"/>
        </w:rPr>
        <w:t>2</w:t>
      </w:r>
      <w:r w:rsidR="009D4BF0">
        <w:rPr>
          <w:rStyle w:val="CETCaptionCarattere"/>
        </w:rPr>
        <w:t>), c) titania doped by iron (1%Fe-TiO</w:t>
      </w:r>
      <w:r w:rsidR="009D4BF0" w:rsidRPr="009D4BF0">
        <w:rPr>
          <w:rStyle w:val="CETCaptionCarattere"/>
          <w:vertAlign w:val="subscript"/>
        </w:rPr>
        <w:t>2</w:t>
      </w:r>
      <w:r w:rsidR="009D4BF0">
        <w:rPr>
          <w:rStyle w:val="CETCaptionCarattere"/>
        </w:rPr>
        <w:t>), d) titania doped by hematyte</w:t>
      </w:r>
      <w:r w:rsidR="0090142A">
        <w:rPr>
          <w:rStyle w:val="CETCaptionCarattere"/>
        </w:rPr>
        <w:t xml:space="preserve"> (Fe</w:t>
      </w:r>
      <w:r w:rsidR="0090142A" w:rsidRPr="0090142A">
        <w:rPr>
          <w:rStyle w:val="CETCaptionCarattere"/>
          <w:vertAlign w:val="subscript"/>
        </w:rPr>
        <w:t>2</w:t>
      </w:r>
      <w:r w:rsidR="0090142A">
        <w:rPr>
          <w:rStyle w:val="CETCaptionCarattere"/>
        </w:rPr>
        <w:t>O</w:t>
      </w:r>
      <w:r w:rsidR="0090142A" w:rsidRPr="0090142A">
        <w:rPr>
          <w:rStyle w:val="CETCaptionCarattere"/>
          <w:vertAlign w:val="subscript"/>
        </w:rPr>
        <w:t>3</w:t>
      </w:r>
      <w:r w:rsidR="0090142A">
        <w:rPr>
          <w:rStyle w:val="CETCaptionCarattere"/>
        </w:rPr>
        <w:t>/TiO</w:t>
      </w:r>
      <w:r w:rsidR="0090142A" w:rsidRPr="0090142A">
        <w:rPr>
          <w:rStyle w:val="CETCaptionCarattere"/>
          <w:vertAlign w:val="subscript"/>
        </w:rPr>
        <w:t>2</w:t>
      </w:r>
      <w:r w:rsidR="0090142A">
        <w:rPr>
          <w:rStyle w:val="CETCaptionCarattere"/>
        </w:rPr>
        <w:t>)</w:t>
      </w:r>
    </w:p>
    <w:p w14:paraId="206F53F2" w14:textId="318FCB76" w:rsidR="00D920D2" w:rsidRPr="00D37B3B" w:rsidRDefault="00D920D2" w:rsidP="00D37B3B">
      <w:pPr>
        <w:pStyle w:val="CETBodytext"/>
      </w:pPr>
    </w:p>
    <w:p w14:paraId="6E0E1699" w14:textId="16C8BAF8" w:rsidR="00955E8A" w:rsidRPr="00955E8A" w:rsidRDefault="00A13C64" w:rsidP="004C5972">
      <w:pPr>
        <w:pStyle w:val="CETheadingx"/>
      </w:pPr>
      <w:r>
        <w:t>Experimental setup</w:t>
      </w:r>
    </w:p>
    <w:p w14:paraId="2878BDB2" w14:textId="6D0B9AD6" w:rsidR="005C7795" w:rsidRDefault="005C7795" w:rsidP="005C7795">
      <w:pPr>
        <w:pStyle w:val="CETBodytext"/>
      </w:pPr>
      <w:r w:rsidRPr="005C7795">
        <w:t xml:space="preserve">To evaluate the photocatalytic activity of the catalysts, </w:t>
      </w:r>
      <w:r w:rsidR="003D0E94">
        <w:t>batch</w:t>
      </w:r>
      <w:r w:rsidR="003D0E94" w:rsidRPr="005C7795">
        <w:t xml:space="preserve"> </w:t>
      </w:r>
      <w:r w:rsidRPr="005C7795">
        <w:t>experiments were performed with 20 mL of 5 ppm aqueous solution of methylene blue (MB) as a model contaminant and 20 mg of photocatalyst (1 g/L). A</w:t>
      </w:r>
      <w:r w:rsidR="001A01B8">
        <w:t xml:space="preserve"> commercial</w:t>
      </w:r>
      <w:r w:rsidRPr="005C7795">
        <w:t xml:space="preserve"> 13 W Osram LED lamp </w:t>
      </w:r>
      <w:r w:rsidR="001A01B8">
        <w:t xml:space="preserve">(4000 K cool light) </w:t>
      </w:r>
      <w:r w:rsidRPr="005C7795">
        <w:t>was placed 15 cm from the bottom of the beaker so that the irradiance of the sample was 9.4 W/m</w:t>
      </w:r>
      <w:r w:rsidRPr="005C7795">
        <w:rPr>
          <w:vertAlign w:val="superscript"/>
        </w:rPr>
        <w:t>2</w:t>
      </w:r>
      <w:r w:rsidRPr="005C7795">
        <w:t>. The batches were stirred with a mechanical stirrer at a constant speed of 400 rpm. The aqueous suspension was kept in the dark for 30 min to reach MB adsorption-desorption equilibrium before starting the photocatalysis tests. The tests were also performed in the dark</w:t>
      </w:r>
      <w:r w:rsidR="003D0E94">
        <w:t>,</w:t>
      </w:r>
      <w:r w:rsidRPr="005C7795">
        <w:t xml:space="preserve"> to assess the adsorption capacity of the material and </w:t>
      </w:r>
      <w:r w:rsidR="003D0E94">
        <w:t xml:space="preserve">to </w:t>
      </w:r>
      <w:r w:rsidRPr="005C7795">
        <w:t xml:space="preserve">appreciate the difference </w:t>
      </w:r>
      <w:r w:rsidR="003D0E94">
        <w:t xml:space="preserve">between the tests performed </w:t>
      </w:r>
      <w:r w:rsidRPr="005C7795">
        <w:t xml:space="preserve">with </w:t>
      </w:r>
      <w:r w:rsidR="003D0E94">
        <w:t>and without using</w:t>
      </w:r>
      <w:r w:rsidRPr="005C7795">
        <w:t xml:space="preserve"> light radiation. MB concentration was determined by UV-vis spectrometric analysis (PG Instruments T8o + UV/Vis spectrophotometer) by measuring the absorbance at 664 nm of the supernatant after a specific time (0-180 min) after being centrifuged at 10000 rpm for 10 min</w:t>
      </w:r>
      <w:r>
        <w:t>utes.</w:t>
      </w:r>
    </w:p>
    <w:p w14:paraId="67727DFB" w14:textId="64441510" w:rsidR="005C7795" w:rsidRPr="005C7795" w:rsidRDefault="003D0E94" w:rsidP="005C7795">
      <w:pPr>
        <w:pStyle w:val="CETEquation"/>
        <w:rPr>
          <w:bCs/>
        </w:rPr>
      </w:pPr>
      <w:r>
        <w:rPr>
          <w:bCs/>
        </w:rPr>
        <w:t>T</w:t>
      </w:r>
      <w:r w:rsidR="005C7795" w:rsidRPr="005C7795">
        <w:rPr>
          <w:bCs/>
        </w:rPr>
        <w:t>he MB removal rate was calculated as follows:</w:t>
      </w:r>
      <w:r w:rsidR="005C7795" w:rsidRPr="00B24570">
        <w:rPr>
          <w:rFonts w:ascii="Times New Roman" w:eastAsiaTheme="minorEastAsia" w:hAnsi="Times New Roman"/>
          <w:sz w:val="24"/>
          <w:szCs w:val="24"/>
        </w:rPr>
        <w:tab/>
      </w:r>
      <w:r w:rsidR="005C7795" w:rsidRPr="00B24570">
        <w:rPr>
          <w:rFonts w:ascii="Times New Roman" w:eastAsiaTheme="minorEastAsia" w:hAnsi="Times New Roman"/>
          <w:sz w:val="24"/>
          <w:szCs w:val="24"/>
        </w:rPr>
        <w:tab/>
      </w:r>
      <w:r w:rsidR="005C7795" w:rsidRPr="00B24570">
        <w:rPr>
          <w:rFonts w:ascii="Times New Roman" w:eastAsiaTheme="minorEastAsia" w:hAnsi="Times New Roman"/>
          <w:sz w:val="24"/>
          <w:szCs w:val="24"/>
        </w:rPr>
        <w:tab/>
      </w:r>
      <w:r w:rsidR="005C7795" w:rsidRPr="00B24570">
        <w:rPr>
          <w:rFonts w:ascii="Times New Roman" w:eastAsiaTheme="minorEastAsia" w:hAnsi="Times New Roman"/>
          <w:sz w:val="24"/>
          <w:szCs w:val="24"/>
        </w:rPr>
        <w:tab/>
      </w:r>
      <w:r w:rsidR="005C7795" w:rsidRPr="00B24570">
        <w:rPr>
          <w:rFonts w:ascii="Times New Roman" w:eastAsiaTheme="minorEastAsia" w:hAnsi="Times New Roman"/>
          <w:sz w:val="24"/>
          <w:szCs w:val="24"/>
        </w:rPr>
        <w:tab/>
      </w:r>
      <w:r w:rsidR="005C7795" w:rsidRPr="005C7795">
        <w:rPr>
          <w:i/>
        </w:rPr>
        <w:br/>
      </w:r>
      <m:oMath>
        <m:r>
          <m:rPr>
            <m:sty m:val="p"/>
          </m:rPr>
          <w:rPr>
            <w:rFonts w:ascii="Cambria Math" w:hAnsi="Cambria Math"/>
          </w:rPr>
          <m:t xml:space="preserve"> </m:t>
        </m:r>
        <m:r>
          <w:rPr>
            <w:rFonts w:ascii="Cambria Math" w:hAnsi="Cambria Math"/>
            <w:lang w:val="it-IT"/>
          </w:rPr>
          <m:t>η</m:t>
        </m:r>
        <m:r>
          <w:rPr>
            <w:rFonts w:ascii="Cambria Math" w:hAnsi="Cambria Math"/>
          </w:rPr>
          <m:t xml:space="preserve">= </m:t>
        </m:r>
        <m:f>
          <m:fPr>
            <m:ctrlPr>
              <w:rPr>
                <w:rFonts w:ascii="Cambria Math" w:hAnsi="Cambria Math"/>
                <w:i/>
                <w:lang w:val="it-IT"/>
              </w:rPr>
            </m:ctrlPr>
          </m:fPr>
          <m:num>
            <m:sSub>
              <m:sSubPr>
                <m:ctrlPr>
                  <w:rPr>
                    <w:rFonts w:ascii="Cambria Math" w:hAnsi="Cambria Math"/>
                    <w:i/>
                    <w:lang w:val="it-IT"/>
                  </w:rPr>
                </m:ctrlPr>
              </m:sSubPr>
              <m:e>
                <m:r>
                  <w:rPr>
                    <w:rFonts w:ascii="Cambria Math" w:hAnsi="Cambria Math"/>
                    <w:lang w:val="it-IT"/>
                  </w:rPr>
                  <m:t>A</m:t>
                </m:r>
              </m:e>
              <m:sub>
                <m:r>
                  <w:rPr>
                    <w:rFonts w:ascii="Cambria Math" w:hAnsi="Cambria Math"/>
                  </w:rPr>
                  <m:t>0</m:t>
                </m:r>
              </m:sub>
            </m:sSub>
            <m:r>
              <w:rPr>
                <w:rFonts w:ascii="Cambria Math" w:hAnsi="Cambria Math"/>
              </w:rPr>
              <m:t>-</m:t>
            </m:r>
            <m:r>
              <w:rPr>
                <w:rFonts w:ascii="Cambria Math" w:hAnsi="Cambria Math"/>
                <w:lang w:val="it-IT"/>
              </w:rPr>
              <m:t>A</m:t>
            </m:r>
            <m:r>
              <w:rPr>
                <w:rFonts w:ascii="Cambria Math" w:hAnsi="Cambria Math"/>
              </w:rPr>
              <m:t>(</m:t>
            </m:r>
            <m:r>
              <w:rPr>
                <w:rFonts w:ascii="Cambria Math" w:hAnsi="Cambria Math"/>
                <w:lang w:val="it-IT"/>
              </w:rPr>
              <m:t>t</m:t>
            </m:r>
            <m:r>
              <w:rPr>
                <w:rFonts w:ascii="Cambria Math" w:hAnsi="Cambria Math"/>
              </w:rPr>
              <m:t>)</m:t>
            </m:r>
          </m:num>
          <m:den>
            <m:sSub>
              <m:sSubPr>
                <m:ctrlPr>
                  <w:rPr>
                    <w:rFonts w:ascii="Cambria Math" w:hAnsi="Cambria Math"/>
                    <w:i/>
                    <w:lang w:val="it-IT"/>
                  </w:rPr>
                </m:ctrlPr>
              </m:sSubPr>
              <m:e>
                <m:r>
                  <w:rPr>
                    <w:rFonts w:ascii="Cambria Math" w:hAnsi="Cambria Math"/>
                    <w:lang w:val="it-IT"/>
                  </w:rPr>
                  <m:t>A</m:t>
                </m:r>
              </m:e>
              <m:sub>
                <m:r>
                  <w:rPr>
                    <w:rFonts w:ascii="Cambria Math" w:hAnsi="Cambria Math"/>
                  </w:rPr>
                  <m:t>0</m:t>
                </m:r>
              </m:sub>
            </m:sSub>
          </m:den>
        </m:f>
        <m:r>
          <w:rPr>
            <w:rFonts w:ascii="Cambria Math" w:hAnsi="Cambria Math"/>
          </w:rPr>
          <m:t>*100</m:t>
        </m:r>
        <m:r>
          <m:rPr>
            <m:sty m:val="p"/>
          </m:rPr>
          <w:rPr>
            <w:rFonts w:ascii="Cambria Math" w:hAnsi="Cambria Math"/>
          </w:rPr>
          <m:t xml:space="preserve">                                                                                                                                                                                    (4)</m:t>
        </m:r>
      </m:oMath>
      <w:r w:rsidR="005C7795" w:rsidRPr="00B24570">
        <w:rPr>
          <w:rFonts w:ascii="Times New Roman" w:eastAsiaTheme="minorEastAsia" w:hAnsi="Times New Roman"/>
          <w:sz w:val="24"/>
          <w:szCs w:val="24"/>
        </w:rPr>
        <w:tab/>
        <w:t xml:space="preserve">      </w:t>
      </w:r>
    </w:p>
    <w:p w14:paraId="44AD33F8" w14:textId="79EB5BCF" w:rsidR="00FF2DAA" w:rsidRPr="00FF2DAA" w:rsidRDefault="005C7795" w:rsidP="005C7795">
      <w:pPr>
        <w:pStyle w:val="CETBodytext"/>
      </w:pPr>
      <w:r w:rsidRPr="005C7795">
        <w:t>where η is the MB removal efficiency, A</w:t>
      </w:r>
      <w:r w:rsidRPr="005C7795">
        <w:rPr>
          <w:vertAlign w:val="subscript"/>
        </w:rPr>
        <w:t>0</w:t>
      </w:r>
      <w:r w:rsidRPr="005C7795">
        <w:t xml:space="preserve"> is the MB absorbance after the adsorption/desorption equilibrium was achieved and A(t) is the MB absorbance of the solution at a specific time t.</w:t>
      </w:r>
    </w:p>
    <w:p w14:paraId="5BEF856F" w14:textId="3C2EDECA" w:rsidR="00E8716E" w:rsidRDefault="00E8716E" w:rsidP="00E8716E">
      <w:pPr>
        <w:pStyle w:val="CETHeading1"/>
        <w:rPr>
          <w:lang w:val="en-GB"/>
        </w:rPr>
      </w:pPr>
      <w:r>
        <w:rPr>
          <w:lang w:val="en-GB"/>
        </w:rPr>
        <w:t>Results and discussions</w:t>
      </w:r>
    </w:p>
    <w:p w14:paraId="734BBFEC" w14:textId="6197AF73" w:rsidR="000A6298" w:rsidRDefault="00336C68" w:rsidP="00336C68">
      <w:pPr>
        <w:pStyle w:val="CETBodytext"/>
      </w:pPr>
      <w:r w:rsidRPr="00336C68">
        <w:t>Tests were c</w:t>
      </w:r>
      <w:r>
        <w:t>arried out</w:t>
      </w:r>
      <w:r w:rsidRPr="00336C68">
        <w:t xml:space="preserve"> both in the dark and under visible radiation to </w:t>
      </w:r>
      <w:r w:rsidR="000D347C">
        <w:t>assess</w:t>
      </w:r>
      <w:r w:rsidR="000D347C" w:rsidRPr="00336C68">
        <w:t xml:space="preserve"> </w:t>
      </w:r>
      <w:r w:rsidRPr="00336C68">
        <w:t>photocatalytic activ</w:t>
      </w:r>
      <w:r w:rsidR="000D347C">
        <w:t>ity</w:t>
      </w:r>
      <w:r>
        <w:t xml:space="preserve">. The results </w:t>
      </w:r>
      <w:r w:rsidR="000D347C">
        <w:t xml:space="preserve">of the tests </w:t>
      </w:r>
      <w:r>
        <w:t xml:space="preserve">are shown In Figure </w:t>
      </w:r>
      <w:r w:rsidR="008F5204">
        <w:t>2</w:t>
      </w:r>
      <w:r>
        <w:t>.</w:t>
      </w:r>
      <w:r w:rsidR="00837A95">
        <w:t xml:space="preserve"> </w:t>
      </w:r>
    </w:p>
    <w:p w14:paraId="0B842C46" w14:textId="65632199" w:rsidR="00182109" w:rsidRDefault="000705D9" w:rsidP="00336C68">
      <w:pPr>
        <w:pStyle w:val="CETBodytext"/>
      </w:pPr>
      <w:r>
        <w:rPr>
          <w:noProof/>
        </w:rPr>
        <w:lastRenderedPageBreak/>
        <mc:AlternateContent>
          <mc:Choice Requires="wps">
            <w:drawing>
              <wp:anchor distT="45720" distB="45720" distL="114300" distR="114300" simplePos="0" relativeHeight="251704320" behindDoc="0" locked="0" layoutInCell="1" allowOverlap="1" wp14:anchorId="270CE2C5" wp14:editId="6C07BBAC">
                <wp:simplePos x="0" y="0"/>
                <wp:positionH relativeFrom="column">
                  <wp:posOffset>2389603</wp:posOffset>
                </wp:positionH>
                <wp:positionV relativeFrom="paragraph">
                  <wp:posOffset>185567</wp:posOffset>
                </wp:positionV>
                <wp:extent cx="351692" cy="1404620"/>
                <wp:effectExtent l="0" t="0" r="0" b="254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692" cy="1404620"/>
                        </a:xfrm>
                        <a:prstGeom prst="rect">
                          <a:avLst/>
                        </a:prstGeom>
                        <a:noFill/>
                        <a:ln w="9525">
                          <a:noFill/>
                          <a:miter lim="800000"/>
                          <a:headEnd/>
                          <a:tailEnd/>
                        </a:ln>
                      </wps:spPr>
                      <wps:txbx>
                        <w:txbxContent>
                          <w:p w14:paraId="6BE45926" w14:textId="45A6A0E1" w:rsidR="000705D9" w:rsidRDefault="000705D9">
                            <w: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0CE2C5" id="_x0000_s1030" type="#_x0000_t202" style="position:absolute;left:0;text-align:left;margin-left:188.15pt;margin-top:14.6pt;width:27.7pt;height:110.6pt;z-index:251704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" filled="f" stroked="f">
                <v:textbox style="mso-fit-shape-to-text:t">
                  <w:txbxContent>
                    <w:p w14:paraId="6BE45926" w14:textId="45A6A0E1" w:rsidR="000705D9" w:rsidRDefault="000705D9">
                      <w:r>
                        <w:t>(a)</w:t>
                      </w:r>
                    </w:p>
                  </w:txbxContent>
                </v:textbox>
              </v:shape>
            </w:pict>
          </mc:Fallback>
        </mc:AlternateContent>
      </w:r>
      <w:r w:rsidR="005723E7">
        <w:rPr>
          <w:noProof/>
        </w:rPr>
        <w:drawing>
          <wp:anchor distT="0" distB="0" distL="114300" distR="114300" simplePos="0" relativeHeight="251702272" behindDoc="0" locked="0" layoutInCell="1" allowOverlap="1" wp14:anchorId="43BEE221" wp14:editId="73A4CC4E">
            <wp:simplePos x="0" y="0"/>
            <wp:positionH relativeFrom="column">
              <wp:posOffset>2787650</wp:posOffset>
            </wp:positionH>
            <wp:positionV relativeFrom="paragraph">
              <wp:posOffset>1990725</wp:posOffset>
            </wp:positionV>
            <wp:extent cx="3217545" cy="2033954"/>
            <wp:effectExtent l="0" t="0" r="0" b="0"/>
            <wp:wrapNone/>
            <wp:docPr id="7" name="Grafico 7">
              <a:extLst xmlns:a="http://schemas.openxmlformats.org/drawingml/2006/main">
                <a:ext uri="{FF2B5EF4-FFF2-40B4-BE49-F238E27FC236}">
                  <a16:creationId xmlns:a16="http://schemas.microsoft.com/office/drawing/2014/main" id="{7F14F1F2-01DE-4847-BBFC-F1D0F7BDC6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6B5BA6">
        <w:rPr>
          <w:noProof/>
        </w:rPr>
        <w:drawing>
          <wp:anchor distT="0" distB="0" distL="114300" distR="114300" simplePos="0" relativeHeight="251700224" behindDoc="0" locked="0" layoutInCell="1" allowOverlap="1" wp14:anchorId="50A81598" wp14:editId="668464FF">
            <wp:simplePos x="0" y="0"/>
            <wp:positionH relativeFrom="margin">
              <wp:posOffset>2617519</wp:posOffset>
            </wp:positionH>
            <wp:positionV relativeFrom="paragraph">
              <wp:posOffset>-19685</wp:posOffset>
            </wp:positionV>
            <wp:extent cx="4366260" cy="2526323"/>
            <wp:effectExtent l="0" t="0" r="0" b="0"/>
            <wp:wrapNone/>
            <wp:docPr id="3" name="Grafico 3">
              <a:extLst xmlns:a="http://schemas.openxmlformats.org/drawingml/2006/main">
                <a:ext uri="{FF2B5EF4-FFF2-40B4-BE49-F238E27FC236}">
                  <a16:creationId xmlns:a16="http://schemas.microsoft.com/office/drawing/2014/main" id="{C9BE1874-60C4-45C1-8AB8-53F1ED2990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6B5BA6">
        <w:rPr>
          <w:noProof/>
        </w:rPr>
        <w:drawing>
          <wp:inline distT="0" distB="0" distL="0" distR="0" wp14:anchorId="4FBC92BE" wp14:editId="41E8587D">
            <wp:extent cx="3977640" cy="2010322"/>
            <wp:effectExtent l="0" t="0" r="3810" b="0"/>
            <wp:docPr id="2" name="Grafico 2">
              <a:extLst xmlns:a="http://schemas.openxmlformats.org/drawingml/2006/main">
                <a:ext uri="{FF2B5EF4-FFF2-40B4-BE49-F238E27FC236}">
                  <a16:creationId xmlns:a16="http://schemas.microsoft.com/office/drawing/2014/main" id="{E0BC15DA-F439-48AF-B96B-E7219B6B7A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2ECC677" w14:textId="4CFD1EA8" w:rsidR="005723E7" w:rsidRPr="000705D9" w:rsidRDefault="005723E7" w:rsidP="00837A95">
      <w:pPr>
        <w:pStyle w:val="CETBodytext"/>
        <w:rPr>
          <w:rStyle w:val="CETCaptionCarattere"/>
          <w:i w:val="0"/>
          <w:lang w:val="en-US"/>
        </w:rPr>
      </w:pPr>
      <w:r>
        <w:rPr>
          <w:noProof/>
        </w:rPr>
        <w:drawing>
          <wp:anchor distT="0" distB="0" distL="114300" distR="114300" simplePos="0" relativeHeight="251701248" behindDoc="0" locked="0" layoutInCell="1" allowOverlap="1" wp14:anchorId="45CDDB95" wp14:editId="239CAFC7">
            <wp:simplePos x="0" y="0"/>
            <wp:positionH relativeFrom="margin">
              <wp:posOffset>-1612</wp:posOffset>
            </wp:positionH>
            <wp:positionV relativeFrom="paragraph">
              <wp:posOffset>38540</wp:posOffset>
            </wp:positionV>
            <wp:extent cx="3592830" cy="1916430"/>
            <wp:effectExtent l="0" t="0" r="0" b="0"/>
            <wp:wrapTopAndBottom/>
            <wp:docPr id="4" name="Grafico 4">
              <a:extLst xmlns:a="http://schemas.openxmlformats.org/drawingml/2006/main">
                <a:ext uri="{FF2B5EF4-FFF2-40B4-BE49-F238E27FC236}">
                  <a16:creationId xmlns:a16="http://schemas.microsoft.com/office/drawing/2014/main" id="{3E62B97D-3296-4869-90C1-2B84AE2D67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17FC6ED8" w14:textId="32066418" w:rsidR="000B77FA" w:rsidRDefault="000B77FA" w:rsidP="00837A95">
      <w:pPr>
        <w:pStyle w:val="CETBodytext"/>
        <w:rPr>
          <w:rStyle w:val="CETCaptionCarattere"/>
        </w:rPr>
      </w:pPr>
      <w:r w:rsidRPr="00BD077D">
        <w:rPr>
          <w:rStyle w:val="CETCaptionCarattere"/>
        </w:rPr>
        <w:t xml:space="preserve">Figure </w:t>
      </w:r>
      <w:r w:rsidR="008F5204">
        <w:rPr>
          <w:rStyle w:val="CETCaptionCarattere"/>
        </w:rPr>
        <w:t>2</w:t>
      </w:r>
      <w:r w:rsidRPr="00BD077D">
        <w:rPr>
          <w:rStyle w:val="CETCaptionCarattere"/>
        </w:rPr>
        <w:t xml:space="preserve">: </w:t>
      </w:r>
      <w:r w:rsidR="00313533" w:rsidRPr="00313533">
        <w:rPr>
          <w:rStyle w:val="CETCaptionCarattere"/>
        </w:rPr>
        <w:t xml:space="preserve">% removal as a function of time of </w:t>
      </w:r>
      <w:r w:rsidR="00313533">
        <w:rPr>
          <w:rStyle w:val="CETCaptionCarattere"/>
        </w:rPr>
        <w:t>M</w:t>
      </w:r>
      <w:r w:rsidR="00313533" w:rsidRPr="00313533">
        <w:rPr>
          <w:rStyle w:val="CETCaptionCarattere"/>
        </w:rPr>
        <w:t>B 5 ppm solution using the amount of catalyst 1g/L at the irradiance of 9.4 w/m</w:t>
      </w:r>
      <w:r w:rsidR="00313533" w:rsidRPr="00313533">
        <w:rPr>
          <w:rStyle w:val="CETCaptionCarattere"/>
          <w:vertAlign w:val="superscript"/>
        </w:rPr>
        <w:t>2</w:t>
      </w:r>
      <w:r w:rsidR="00313533" w:rsidRPr="00313533">
        <w:rPr>
          <w:rStyle w:val="CETCaptionCarattere"/>
        </w:rPr>
        <w:t>. All batches</w:t>
      </w:r>
      <w:r w:rsidR="001B1CBA">
        <w:rPr>
          <w:rStyle w:val="CETCaptionCarattere"/>
        </w:rPr>
        <w:t xml:space="preserve"> w</w:t>
      </w:r>
      <w:r w:rsidR="001B1CBA" w:rsidRPr="001B1CBA">
        <w:rPr>
          <w:rStyle w:val="CETCaptionCarattere"/>
        </w:rPr>
        <w:t>ere kept in the dark for 30 minutes (which corresponds to time 0)</w:t>
      </w:r>
      <w:r w:rsidR="001B1CBA">
        <w:rPr>
          <w:rStyle w:val="CETCaptionCarattere"/>
        </w:rPr>
        <w:t xml:space="preserve">. </w:t>
      </w:r>
      <w:r w:rsidR="001B1CBA" w:rsidRPr="001B1CBA">
        <w:rPr>
          <w:rStyle w:val="CETCaptionCarattere"/>
        </w:rPr>
        <w:t>The photocatalysts were tested both in the dark and under visible light and were</w:t>
      </w:r>
      <w:r w:rsidR="001B1CBA">
        <w:rPr>
          <w:rStyle w:val="CETCaptionCarattere"/>
        </w:rPr>
        <w:t xml:space="preserve"> (a) pure synthesized (sTiO</w:t>
      </w:r>
      <w:r w:rsidR="001B1CBA" w:rsidRPr="001B1CBA">
        <w:rPr>
          <w:rStyle w:val="CETCaptionCarattere"/>
          <w:vertAlign w:val="subscript"/>
        </w:rPr>
        <w:t>2</w:t>
      </w:r>
      <w:r w:rsidR="001B1CBA">
        <w:rPr>
          <w:rStyle w:val="CETCaptionCarattere"/>
        </w:rPr>
        <w:t>) and commercial titania (P25), (b) Fe</w:t>
      </w:r>
      <w:r w:rsidR="001B1CBA" w:rsidRPr="001B1CBA">
        <w:rPr>
          <w:rStyle w:val="CETCaptionCarattere"/>
          <w:vertAlign w:val="subscript"/>
        </w:rPr>
        <w:t>2</w:t>
      </w:r>
      <w:r w:rsidR="001B1CBA">
        <w:rPr>
          <w:rStyle w:val="CETCaptionCarattere"/>
        </w:rPr>
        <w:t>O</w:t>
      </w:r>
      <w:r w:rsidR="001B1CBA" w:rsidRPr="001B1CBA">
        <w:rPr>
          <w:rStyle w:val="CETCaptionCarattere"/>
          <w:vertAlign w:val="subscript"/>
        </w:rPr>
        <w:t>3</w:t>
      </w:r>
      <w:r w:rsidR="001B1CBA">
        <w:rPr>
          <w:rStyle w:val="CETCaptionCarattere"/>
        </w:rPr>
        <w:t>/TiO</w:t>
      </w:r>
      <w:r w:rsidR="001B1CBA" w:rsidRPr="001B1CBA">
        <w:rPr>
          <w:rStyle w:val="CETCaptionCarattere"/>
          <w:vertAlign w:val="subscript"/>
        </w:rPr>
        <w:t>2</w:t>
      </w:r>
      <w:r w:rsidR="001B1CBA">
        <w:rPr>
          <w:rStyle w:val="CETCaptionCarattere"/>
        </w:rPr>
        <w:t xml:space="preserve"> and Fe</w:t>
      </w:r>
      <w:r w:rsidR="001B1CBA" w:rsidRPr="001B1CBA">
        <w:rPr>
          <w:rStyle w:val="CETCaptionCarattere"/>
          <w:vertAlign w:val="subscript"/>
        </w:rPr>
        <w:t>2</w:t>
      </w:r>
      <w:r w:rsidR="001B1CBA">
        <w:rPr>
          <w:rStyle w:val="CETCaptionCarattere"/>
        </w:rPr>
        <w:t>O</w:t>
      </w:r>
      <w:r w:rsidR="001B1CBA" w:rsidRPr="001B1CBA">
        <w:rPr>
          <w:rStyle w:val="CETCaptionCarattere"/>
          <w:vertAlign w:val="subscript"/>
        </w:rPr>
        <w:t>3</w:t>
      </w:r>
      <w:r w:rsidR="001B1CBA">
        <w:rPr>
          <w:rStyle w:val="CETCaptionCarattere"/>
        </w:rPr>
        <w:t>/P25, (c) 1%Fe-TiO</w:t>
      </w:r>
      <w:r w:rsidR="001B1CBA" w:rsidRPr="001B1CBA">
        <w:rPr>
          <w:rStyle w:val="CETCaptionCarattere"/>
          <w:vertAlign w:val="subscript"/>
        </w:rPr>
        <w:t>2</w:t>
      </w:r>
      <w:r w:rsidR="001B1CBA">
        <w:rPr>
          <w:rStyle w:val="CETCaptionCarattere"/>
        </w:rPr>
        <w:t xml:space="preserve"> and 1%Fe-P25, (d) Ag/Sr-TiO</w:t>
      </w:r>
      <w:r w:rsidR="001B1CBA" w:rsidRPr="001B1CBA">
        <w:rPr>
          <w:rStyle w:val="CETCaptionCarattere"/>
          <w:vertAlign w:val="subscript"/>
        </w:rPr>
        <w:t>2</w:t>
      </w:r>
      <w:r w:rsidR="001B1CBA">
        <w:rPr>
          <w:rStyle w:val="CETCaptionCarattere"/>
        </w:rPr>
        <w:t>.</w:t>
      </w:r>
    </w:p>
    <w:p w14:paraId="4E8CA3F0" w14:textId="684072A8" w:rsidR="000B77FA" w:rsidRDefault="000B77FA" w:rsidP="00837A95">
      <w:pPr>
        <w:pStyle w:val="CETBodytext"/>
      </w:pPr>
    </w:p>
    <w:p w14:paraId="0B7B809C" w14:textId="74916F36" w:rsidR="005404A2" w:rsidRDefault="005404A2" w:rsidP="00837A95">
      <w:pPr>
        <w:pStyle w:val="CETBodytext"/>
      </w:pPr>
      <w:r w:rsidRPr="005404A2">
        <w:t xml:space="preserve">From the data shown in Figure </w:t>
      </w:r>
      <w:r w:rsidR="00313533">
        <w:t>2</w:t>
      </w:r>
      <w:r w:rsidRPr="005404A2">
        <w:t xml:space="preserve">a it was evident that pure titania did not show photocatalytic activity under visible light </w:t>
      </w:r>
      <w:sdt>
        <w:sdtPr>
          <w:rPr>
            <w:color w:val="000000"/>
          </w:rPr>
          <w:tag w:val="MENDELEY_CITATION_v3_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"/>
          <w:id w:val="1223409760"/>
          <w:placeholder>
            <w:docPart w:val="DefaultPlaceholder_-1854013440"/>
          </w:placeholder>
        </w:sdtPr>
        <w:sdtContent>
          <w:r w:rsidR="00E46DDF" w:rsidRPr="00E46DDF">
            <w:rPr>
              <w:color w:val="000000"/>
            </w:rPr>
            <w:t>(Mohan et al., 2021)</w:t>
          </w:r>
        </w:sdtContent>
      </w:sdt>
      <w:r w:rsidRPr="005404A2">
        <w:t>as the removal of the contaminant was the same under both visible light and in the dark</w:t>
      </w:r>
      <w:r w:rsidR="000D347C">
        <w:t>. Therefore,</w:t>
      </w:r>
      <w:r w:rsidRPr="005404A2">
        <w:t xml:space="preserve"> </w:t>
      </w:r>
      <w:r w:rsidR="00422BC8">
        <w:t>contaminant</w:t>
      </w:r>
      <w:r w:rsidRPr="005404A2">
        <w:t xml:space="preserve"> removal </w:t>
      </w:r>
      <w:r w:rsidR="000D347C">
        <w:t>was only due</w:t>
      </w:r>
      <w:r w:rsidR="000D347C" w:rsidRPr="005404A2">
        <w:t xml:space="preserve"> </w:t>
      </w:r>
      <w:r w:rsidRPr="005404A2">
        <w:t xml:space="preserve">to </w:t>
      </w:r>
      <w:r w:rsidR="000D347C">
        <w:t xml:space="preserve">the </w:t>
      </w:r>
      <w:r w:rsidRPr="005404A2">
        <w:t xml:space="preserve">adsorption </w:t>
      </w:r>
      <w:r w:rsidR="000D347C">
        <w:t xml:space="preserve">on </w:t>
      </w:r>
      <w:r w:rsidR="00422BC8">
        <w:t xml:space="preserve">the </w:t>
      </w:r>
      <w:r w:rsidR="000D347C">
        <w:t>catalyst surface.</w:t>
      </w:r>
      <w:r w:rsidR="00313533">
        <w:t xml:space="preserve"> </w:t>
      </w:r>
      <w:r w:rsidR="000D347C">
        <w:t>T</w:t>
      </w:r>
      <w:r w:rsidR="00313533" w:rsidRPr="00313533">
        <w:t xml:space="preserve">his is true for both synthesized </w:t>
      </w:r>
      <w:r w:rsidR="00313533">
        <w:t>(sTiO</w:t>
      </w:r>
      <w:r w:rsidR="00313533" w:rsidRPr="00313533">
        <w:rPr>
          <w:vertAlign w:val="subscript"/>
        </w:rPr>
        <w:t>2</w:t>
      </w:r>
      <w:r w:rsidR="00313533">
        <w:t xml:space="preserve">) </w:t>
      </w:r>
      <w:r w:rsidR="00313533" w:rsidRPr="00313533">
        <w:t>and commercial titania</w:t>
      </w:r>
      <w:r w:rsidR="00313533">
        <w:t xml:space="preserve"> (P25)</w:t>
      </w:r>
      <w:r w:rsidR="00313533" w:rsidRPr="00313533">
        <w:t>.</w:t>
      </w:r>
      <w:r w:rsidR="00313533">
        <w:t xml:space="preserve"> </w:t>
      </w:r>
      <w:r w:rsidR="00313533" w:rsidRPr="00313533">
        <w:t>In addition, the sTiO</w:t>
      </w:r>
      <w:r w:rsidR="00313533" w:rsidRPr="00313533">
        <w:rPr>
          <w:vertAlign w:val="subscript"/>
        </w:rPr>
        <w:t>2</w:t>
      </w:r>
      <w:r w:rsidR="00313533" w:rsidRPr="00313533">
        <w:t xml:space="preserve"> sample showed higher adsorptive capacity than P25 (they removed after 3 hours 50 and 9 % respectively</w:t>
      </w:r>
      <w:r w:rsidR="00313533">
        <w:t>). T</w:t>
      </w:r>
      <w:r w:rsidR="00313533" w:rsidRPr="00313533">
        <w:t>his could be attributed to the fact that sTiO</w:t>
      </w:r>
      <w:r w:rsidR="00313533" w:rsidRPr="00313533">
        <w:rPr>
          <w:vertAlign w:val="subscript"/>
        </w:rPr>
        <w:t>2</w:t>
      </w:r>
      <w:r w:rsidR="00313533" w:rsidRPr="00313533">
        <w:t xml:space="preserve"> is richer in structural defects </w:t>
      </w:r>
      <w:r w:rsidR="000D347C">
        <w:t xml:space="preserve">than 25, </w:t>
      </w:r>
      <w:r w:rsidR="00313533" w:rsidRPr="00313533">
        <w:t>which makes it more reactive and less stable</w:t>
      </w:r>
      <w:r w:rsidR="00422BC8">
        <w:t xml:space="preserve">, </w:t>
      </w:r>
      <w:r w:rsidR="00313533" w:rsidRPr="00313533">
        <w:t>inert</w:t>
      </w:r>
      <w:r w:rsidR="00422BC8">
        <w:t xml:space="preserve">, </w:t>
      </w:r>
      <w:r w:rsidR="00422BC8" w:rsidRPr="00422BC8">
        <w:t>and more prone to contaminant adsorption</w:t>
      </w:r>
      <w:r w:rsidR="00313533">
        <w:t xml:space="preserve"> </w:t>
      </w:r>
      <w:sdt>
        <w:sdtPr>
          <w:rPr>
            <w:color w:val="000000"/>
          </w:rPr>
          <w:tag w:val="MENDELEY_CITATION_v3_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"/>
          <w:id w:val="-2102392639"/>
          <w:placeholder>
            <w:docPart w:val="DefaultPlaceholder_-1854013440"/>
          </w:placeholder>
        </w:sdtPr>
        <w:sdtContent>
          <w:r w:rsidR="00E46DDF" w:rsidRPr="00E46DDF">
            <w:rPr>
              <w:color w:val="000000"/>
            </w:rPr>
            <w:t>(Barba-Nieto et al., 2020)</w:t>
          </w:r>
        </w:sdtContent>
      </w:sdt>
      <w:r w:rsidR="00422BC8">
        <w:rPr>
          <w:color w:val="000000"/>
        </w:rPr>
        <w:t xml:space="preserve"> </w:t>
      </w:r>
      <w:r w:rsidR="00422BC8" w:rsidRPr="00422BC8">
        <w:rPr>
          <w:color w:val="000000"/>
        </w:rPr>
        <w:t>in fact adsorption equilibrium was reached after 2 hours while for the other catalysts in less than 30 minutes</w:t>
      </w:r>
      <w:r w:rsidR="00422BC8">
        <w:rPr>
          <w:color w:val="000000"/>
        </w:rPr>
        <w:t>.</w:t>
      </w:r>
    </w:p>
    <w:p w14:paraId="5D596604" w14:textId="7C9B521B" w:rsidR="00F92BDD" w:rsidRDefault="002C7552" w:rsidP="005728D0">
      <w:pPr>
        <w:pStyle w:val="CETBodytext"/>
        <w:rPr>
          <w:rFonts w:eastAsia="AdvP4DF60E" w:cs="Arial"/>
          <w:szCs w:val="18"/>
        </w:rPr>
      </w:pPr>
      <w:r>
        <w:t>A</w:t>
      </w:r>
      <w:r w:rsidRPr="002C7552">
        <w:t xml:space="preserve">ll other tested </w:t>
      </w:r>
      <w:r w:rsidR="000D347C" w:rsidRPr="002C7552">
        <w:t xml:space="preserve">catalysts </w:t>
      </w:r>
      <w:r w:rsidRPr="002C7552">
        <w:t>(</w:t>
      </w:r>
      <w:r>
        <w:t>Fe</w:t>
      </w:r>
      <w:r w:rsidRPr="002C7552">
        <w:rPr>
          <w:vertAlign w:val="subscript"/>
        </w:rPr>
        <w:t>2</w:t>
      </w:r>
      <w:r>
        <w:t>O</w:t>
      </w:r>
      <w:r w:rsidRPr="002C7552">
        <w:rPr>
          <w:vertAlign w:val="subscript"/>
        </w:rPr>
        <w:t>3</w:t>
      </w:r>
      <w:r>
        <w:t>/TiO</w:t>
      </w:r>
      <w:r w:rsidRPr="002C7552">
        <w:rPr>
          <w:vertAlign w:val="subscript"/>
        </w:rPr>
        <w:t>2</w:t>
      </w:r>
      <w:r>
        <w:t>,</w:t>
      </w:r>
      <w:r w:rsidRPr="002C7552">
        <w:t xml:space="preserve"> </w:t>
      </w:r>
      <w:r>
        <w:t>Fe</w:t>
      </w:r>
      <w:r w:rsidRPr="002C7552">
        <w:rPr>
          <w:vertAlign w:val="subscript"/>
        </w:rPr>
        <w:t>2</w:t>
      </w:r>
      <w:r>
        <w:t>O</w:t>
      </w:r>
      <w:r w:rsidRPr="002C7552">
        <w:rPr>
          <w:vertAlign w:val="subscript"/>
        </w:rPr>
        <w:t>3</w:t>
      </w:r>
      <w:r>
        <w:t>/P25, 1%Fe-TiO</w:t>
      </w:r>
      <w:r w:rsidRPr="002C7552">
        <w:rPr>
          <w:vertAlign w:val="subscript"/>
        </w:rPr>
        <w:t>2</w:t>
      </w:r>
      <w:r>
        <w:t>,</w:t>
      </w:r>
      <w:r w:rsidRPr="002C7552">
        <w:t xml:space="preserve"> </w:t>
      </w:r>
      <w:r>
        <w:t>1%Fe-P25,</w:t>
      </w:r>
      <w:r w:rsidRPr="002C7552">
        <w:t xml:space="preserve"> </w:t>
      </w:r>
      <w:r>
        <w:t>Ag/Sr-TiO</w:t>
      </w:r>
      <w:r w:rsidRPr="002C7552">
        <w:rPr>
          <w:vertAlign w:val="subscript"/>
        </w:rPr>
        <w:t>2</w:t>
      </w:r>
      <w:r w:rsidRPr="002C7552">
        <w:t xml:space="preserve">) showed </w:t>
      </w:r>
      <w:r w:rsidR="000D347C">
        <w:t xml:space="preserve">good </w:t>
      </w:r>
      <w:r w:rsidRPr="002C7552">
        <w:t>photocatalytic activity under visible radiation as significantly greater removal was observed when exposed to light</w:t>
      </w:r>
      <w:r>
        <w:t xml:space="preserve"> as reported in Figures 2b, c, d, </w:t>
      </w:r>
      <w:r w:rsidRPr="002C7552">
        <w:t>which means that doping was effective in order to sensitize titania by reducing its band gap and thus allowing it to produce hydroxyl radicals under visible radiation</w:t>
      </w:r>
      <w:r w:rsidR="003C1B46">
        <w:t xml:space="preserve"> </w:t>
      </w:r>
      <w:sdt>
        <w:sdtPr>
          <w:rPr>
            <w:color w:val="000000"/>
          </w:rPr>
          <w:tag w:val="MENDELEY_CITATION_v3_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"/>
          <w:id w:val="-973206321"/>
          <w:placeholder>
            <w:docPart w:val="DefaultPlaceholder_-1854013440"/>
          </w:placeholder>
        </w:sdtPr>
        <w:sdtContent>
          <w:r w:rsidR="00E46DDF" w:rsidRPr="00E46DDF">
            <w:rPr>
              <w:color w:val="000000"/>
            </w:rPr>
            <w:t>(Khasawneh et al., 2021)</w:t>
          </w:r>
        </w:sdtContent>
      </w:sdt>
      <w:r>
        <w:t xml:space="preserve">. </w:t>
      </w:r>
      <w:r w:rsidRPr="002C7552">
        <w:t>Furthermore, catalysts synthesized using P25 showed</w:t>
      </w:r>
      <w:r w:rsidR="003D0E94">
        <w:t xml:space="preserve"> a</w:t>
      </w:r>
      <w:r w:rsidRPr="002C7552">
        <w:t xml:space="preserve"> lower % removals than the same catalysts synthesized with sTiO</w:t>
      </w:r>
      <w:r w:rsidRPr="002C7552">
        <w:rPr>
          <w:vertAlign w:val="subscript"/>
        </w:rPr>
        <w:t>2</w:t>
      </w:r>
      <w:r w:rsidR="003D0E94">
        <w:t>,</w:t>
      </w:r>
      <w:r w:rsidR="003D0E94" w:rsidRPr="003D0E94">
        <w:t xml:space="preserve"> </w:t>
      </w:r>
      <w:r w:rsidR="003D0E94">
        <w:t>as</w:t>
      </w:r>
      <w:r w:rsidR="003D0E94" w:rsidRPr="002C7552">
        <w:t xml:space="preserve"> shown in Figure 2a</w:t>
      </w:r>
      <w:r w:rsidR="003D0E94">
        <w:t>.</w:t>
      </w:r>
      <w:r w:rsidR="003D0E94" w:rsidRPr="002C7552">
        <w:t xml:space="preserve"> </w:t>
      </w:r>
      <w:r>
        <w:t xml:space="preserve"> </w:t>
      </w:r>
      <w:r w:rsidR="00184F5C">
        <w:t>After</w:t>
      </w:r>
      <w:r w:rsidRPr="002C7552">
        <w:t xml:space="preserve"> 3 hours, </w:t>
      </w:r>
      <w:r w:rsidR="003D0E94">
        <w:t xml:space="preserve">a </w:t>
      </w:r>
      <w:r w:rsidRPr="002C7552">
        <w:t xml:space="preserve">contaminant removal of </w:t>
      </w:r>
      <w:r w:rsidR="00D55C7E">
        <w:t>57</w:t>
      </w:r>
      <w:r w:rsidRPr="002C7552">
        <w:t xml:space="preserve"> and </w:t>
      </w:r>
      <w:r w:rsidR="00D55C7E">
        <w:t>27 %</w:t>
      </w:r>
      <w:r w:rsidRPr="002C7552">
        <w:t xml:space="preserve"> was observed</w:t>
      </w:r>
      <w:r w:rsidR="001A7A4A">
        <w:t xml:space="preserve"> </w:t>
      </w:r>
      <w:r w:rsidR="003D0E94" w:rsidRPr="002C7552">
        <w:t xml:space="preserve">for </w:t>
      </w:r>
      <w:r w:rsidR="003D0E94">
        <w:t>Fe</w:t>
      </w:r>
      <w:r w:rsidR="003D0E94" w:rsidRPr="002C7552">
        <w:rPr>
          <w:vertAlign w:val="subscript"/>
        </w:rPr>
        <w:t>2</w:t>
      </w:r>
      <w:r w:rsidR="003D0E94">
        <w:t>O</w:t>
      </w:r>
      <w:r w:rsidR="003D0E94" w:rsidRPr="002C7552">
        <w:rPr>
          <w:vertAlign w:val="subscript"/>
        </w:rPr>
        <w:t>3</w:t>
      </w:r>
      <w:r w:rsidR="003D0E94">
        <w:t>/TiO</w:t>
      </w:r>
      <w:r w:rsidR="003D0E94" w:rsidRPr="002C7552">
        <w:rPr>
          <w:vertAlign w:val="subscript"/>
        </w:rPr>
        <w:t>2</w:t>
      </w:r>
      <w:r w:rsidR="003D0E94">
        <w:t xml:space="preserve"> and</w:t>
      </w:r>
      <w:r w:rsidR="003D0E94" w:rsidRPr="002C7552">
        <w:t xml:space="preserve"> </w:t>
      </w:r>
      <w:r w:rsidR="003D0E94">
        <w:t>Fe</w:t>
      </w:r>
      <w:r w:rsidR="003D0E94" w:rsidRPr="002C7552">
        <w:rPr>
          <w:vertAlign w:val="subscript"/>
        </w:rPr>
        <w:t>2</w:t>
      </w:r>
      <w:r w:rsidR="003D0E94">
        <w:t>O</w:t>
      </w:r>
      <w:r w:rsidR="003D0E94" w:rsidRPr="002C7552">
        <w:rPr>
          <w:vertAlign w:val="subscript"/>
        </w:rPr>
        <w:t>3</w:t>
      </w:r>
      <w:r w:rsidR="003D0E94">
        <w:t xml:space="preserve">/P25, respectively </w:t>
      </w:r>
      <w:r w:rsidR="001A7A4A">
        <w:t>(Figure 2b)</w:t>
      </w:r>
      <w:r w:rsidRPr="002C7552">
        <w:t>.</w:t>
      </w:r>
      <w:r w:rsidR="00D55C7E">
        <w:t xml:space="preserve"> T</w:t>
      </w:r>
      <w:r w:rsidR="00D55C7E" w:rsidRPr="00D55C7E">
        <w:t xml:space="preserve">he same </w:t>
      </w:r>
      <w:r w:rsidR="008D16D4">
        <w:t>behavior</w:t>
      </w:r>
      <w:r w:rsidR="003D0E94" w:rsidRPr="00D55C7E">
        <w:t xml:space="preserve"> </w:t>
      </w:r>
      <w:r w:rsidR="00D55C7E" w:rsidRPr="00D55C7E">
        <w:t>was observed (Figure 2c) for the 1%Fe</w:t>
      </w:r>
      <w:r w:rsidR="00D55C7E">
        <w:t>-TiO</w:t>
      </w:r>
      <w:r w:rsidR="00D55C7E" w:rsidRPr="00D55C7E">
        <w:rPr>
          <w:vertAlign w:val="subscript"/>
        </w:rPr>
        <w:t>2</w:t>
      </w:r>
      <w:r w:rsidR="00D55C7E" w:rsidRPr="00D55C7E">
        <w:t xml:space="preserve"> and 1%</w:t>
      </w:r>
      <w:r w:rsidR="00D55C7E">
        <w:t>Fe-P25</w:t>
      </w:r>
      <w:r w:rsidR="00D55C7E" w:rsidRPr="00D55C7E">
        <w:t xml:space="preserve"> catalysts</w:t>
      </w:r>
      <w:r w:rsidR="003D0E94">
        <w:t>:</w:t>
      </w:r>
      <w:r w:rsidR="00D55C7E" w:rsidRPr="00D55C7E">
        <w:t xml:space="preserve"> </w:t>
      </w:r>
      <w:r w:rsidR="003D0E94" w:rsidRPr="00D55C7E">
        <w:t>after 3 h</w:t>
      </w:r>
      <w:r w:rsidR="003D0E94">
        <w:t>ou</w:t>
      </w:r>
      <w:r w:rsidR="003D0E94" w:rsidRPr="00D55C7E">
        <w:t>r</w:t>
      </w:r>
      <w:r w:rsidR="003D0E94">
        <w:t xml:space="preserve">s, a </w:t>
      </w:r>
      <w:r w:rsidR="00D55C7E" w:rsidRPr="00D55C7E">
        <w:t>remov</w:t>
      </w:r>
      <w:r w:rsidR="003D0E94">
        <w:t>al of</w:t>
      </w:r>
      <w:r w:rsidR="00D55C7E" w:rsidRPr="00D55C7E">
        <w:t xml:space="preserve"> 57 and 46 %</w:t>
      </w:r>
      <w:r w:rsidR="003D0E94">
        <w:t xml:space="preserve"> was</w:t>
      </w:r>
      <w:r w:rsidR="00D55C7E" w:rsidRPr="00D55C7E">
        <w:t xml:space="preserve"> </w:t>
      </w:r>
      <w:r w:rsidR="003D0E94" w:rsidRPr="00D55C7E">
        <w:t>respectively</w:t>
      </w:r>
      <w:r w:rsidR="003D0E94">
        <w:t xml:space="preserve"> observed</w:t>
      </w:r>
      <w:r w:rsidR="00D55C7E" w:rsidRPr="00D55C7E">
        <w:t>.</w:t>
      </w:r>
      <w:r w:rsidR="00D55C7E">
        <w:t xml:space="preserve"> </w:t>
      </w:r>
      <w:r w:rsidR="003D0E94">
        <w:t>Also in this case</w:t>
      </w:r>
      <w:r w:rsidR="00D55C7E" w:rsidRPr="00D55C7E">
        <w:t xml:space="preserve">, the higher removal performance could be </w:t>
      </w:r>
      <w:r w:rsidR="003D0E94">
        <w:t>attributed</w:t>
      </w:r>
      <w:r w:rsidR="003D0E94" w:rsidRPr="00D55C7E">
        <w:t xml:space="preserve"> </w:t>
      </w:r>
      <w:r w:rsidR="00D55C7E" w:rsidRPr="00D55C7E">
        <w:t>to a higher presence of structural defects in the sTiO</w:t>
      </w:r>
      <w:r w:rsidR="00D55C7E" w:rsidRPr="00D55C7E">
        <w:rPr>
          <w:vertAlign w:val="subscript"/>
        </w:rPr>
        <w:t>2</w:t>
      </w:r>
      <w:r w:rsidR="00D55C7E" w:rsidRPr="00D55C7E">
        <w:t xml:space="preserve">-based </w:t>
      </w:r>
      <w:sdt>
        <w:sdtPr>
          <w:rPr>
            <w:color w:val="000000"/>
          </w:rPr>
          <w:tag w:val="MENDELEY_CITATION_v3_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"/>
          <w:id w:val="1053882520"/>
          <w:placeholder>
            <w:docPart w:val="DefaultPlaceholder_-1854013440"/>
          </w:placeholder>
        </w:sdtPr>
        <w:sdtContent>
          <w:r w:rsidR="00E46DDF" w:rsidRPr="00E46DDF">
            <w:rPr>
              <w:color w:val="000000"/>
            </w:rPr>
            <w:t>(Barba-Nieto et al., 2020)</w:t>
          </w:r>
        </w:sdtContent>
      </w:sdt>
      <w:r w:rsidR="002F7965">
        <w:rPr>
          <w:color w:val="000000"/>
        </w:rPr>
        <w:t xml:space="preserve"> </w:t>
      </w:r>
      <w:r w:rsidR="00D55C7E" w:rsidRPr="00D55C7E">
        <w:t xml:space="preserve">samples than in the P25-based samples, which contribute to an increased probability of formation of the photogenerated electron positive </w:t>
      </w:r>
      <w:r w:rsidR="00D55C7E">
        <w:t xml:space="preserve">holes </w:t>
      </w:r>
      <w:r w:rsidR="00D55C7E" w:rsidRPr="00D55C7E">
        <w:t xml:space="preserve">pair </w:t>
      </w:r>
      <w:sdt>
        <w:sdtPr>
          <w:rPr>
            <w:color w:val="000000"/>
          </w:rPr>
          <w:tag w:val="MENDELEY_CITATION_v3_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"/>
          <w:id w:val="1316068893"/>
          <w:placeholder>
            <w:docPart w:val="DefaultPlaceholder_-1854013440"/>
          </w:placeholder>
        </w:sdtPr>
        <w:sdtContent>
          <w:r w:rsidR="00E46DDF" w:rsidRPr="00E46DDF">
            <w:rPr>
              <w:color w:val="000000"/>
            </w:rPr>
            <w:t>(Li et al., 2008)</w:t>
          </w:r>
        </w:sdtContent>
      </w:sdt>
      <w:r w:rsidR="00D55C7E">
        <w:t xml:space="preserve"> </w:t>
      </w:r>
      <w:r w:rsidR="00D55C7E" w:rsidRPr="00D55C7E">
        <w:t>and thus to a higher production of hydroxyl radicals responsible for contaminant degradation</w:t>
      </w:r>
      <w:r w:rsidR="00D55C7E">
        <w:t>.</w:t>
      </w:r>
      <w:r w:rsidR="001A7A4A">
        <w:t xml:space="preserve"> </w:t>
      </w:r>
      <w:r w:rsidR="001A7A4A" w:rsidRPr="001A7A4A">
        <w:t>It also appeared evident how the Ag/Sr-TiO</w:t>
      </w:r>
      <w:r w:rsidR="001A7A4A" w:rsidRPr="001A7A4A">
        <w:rPr>
          <w:vertAlign w:val="subscript"/>
        </w:rPr>
        <w:t>2</w:t>
      </w:r>
      <w:r w:rsidR="001A7A4A" w:rsidRPr="001A7A4A">
        <w:t xml:space="preserve"> catalyst </w:t>
      </w:r>
      <w:r w:rsidR="003D0E94" w:rsidRPr="001A7A4A">
        <w:t xml:space="preserve">poorly </w:t>
      </w:r>
      <w:r w:rsidR="001A7A4A" w:rsidRPr="001A7A4A">
        <w:t>performed</w:t>
      </w:r>
      <w:r w:rsidR="003D0E94">
        <w:t xml:space="preserve"> </w:t>
      </w:r>
      <w:r w:rsidR="001A7A4A" w:rsidRPr="001A7A4A">
        <w:t>with</w:t>
      </w:r>
      <w:r w:rsidR="003D0E94">
        <w:t xml:space="preserve"> respect to iron-based</w:t>
      </w:r>
      <w:r w:rsidR="001A7A4A" w:rsidRPr="001A7A4A">
        <w:t xml:space="preserve"> </w:t>
      </w:r>
      <w:r w:rsidR="008D16D4">
        <w:t>catalysts</w:t>
      </w:r>
      <w:r w:rsidR="008D16D4" w:rsidRPr="001A7A4A">
        <w:t>:</w:t>
      </w:r>
      <w:r w:rsidR="003D0E94">
        <w:t xml:space="preserve"> </w:t>
      </w:r>
      <w:r w:rsidR="001A7A4A" w:rsidRPr="001A7A4A">
        <w:t xml:space="preserve">after 3 hours, </w:t>
      </w:r>
      <w:r w:rsidR="003D0E94">
        <w:t xml:space="preserve">only </w:t>
      </w:r>
      <w:r w:rsidR="001A7A4A" w:rsidRPr="001A7A4A">
        <w:t xml:space="preserve">a </w:t>
      </w:r>
      <w:r w:rsidR="001A7A4A">
        <w:t xml:space="preserve">36 </w:t>
      </w:r>
      <w:r w:rsidR="001A7A4A" w:rsidRPr="001A7A4A">
        <w:t>% remova</w:t>
      </w:r>
      <w:r w:rsidR="001A7A4A">
        <w:t>l</w:t>
      </w:r>
      <w:r w:rsidR="003D0E94">
        <w:t xml:space="preserve"> was observed</w:t>
      </w:r>
      <w:r w:rsidR="001A7A4A" w:rsidRPr="001A7A4A">
        <w:t>.</w:t>
      </w:r>
      <w:r w:rsidR="001A7A4A">
        <w:t xml:space="preserve"> </w:t>
      </w:r>
      <w:r w:rsidR="001A7A4A" w:rsidRPr="00111C5C">
        <w:t xml:space="preserve">The </w:t>
      </w:r>
      <w:r w:rsidR="003D0E94">
        <w:t xml:space="preserve">poor </w:t>
      </w:r>
      <w:r w:rsidR="001A7A4A" w:rsidRPr="00111C5C">
        <w:t xml:space="preserve">photocatalytic activity shown </w:t>
      </w:r>
      <w:r w:rsidR="00111C5C" w:rsidRPr="00111C5C">
        <w:t xml:space="preserve">could be due to the inhibitory effect on the recombination of the positive </w:t>
      </w:r>
      <w:r w:rsidR="00111C5C">
        <w:t xml:space="preserve">holes </w:t>
      </w:r>
      <w:r w:rsidR="00111C5C" w:rsidRPr="00111C5C">
        <w:t>electron pair that A</w:t>
      </w:r>
      <w:r w:rsidR="00111C5C">
        <w:t>g</w:t>
      </w:r>
      <w:r w:rsidR="00111C5C" w:rsidRPr="00111C5C">
        <w:t xml:space="preserve"> and Sr have</w:t>
      </w:r>
      <w:r w:rsidR="00111C5C">
        <w:t xml:space="preserve"> </w:t>
      </w:r>
      <w:sdt>
        <w:sdtPr>
          <w:rPr>
            <w:color w:val="000000"/>
          </w:rPr>
          <w:tag w:val="MENDELEY_CITATION_v3_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"/>
          <w:id w:val="82271303"/>
          <w:placeholder>
            <w:docPart w:val="DefaultPlaceholder_-1854013440"/>
          </w:placeholder>
        </w:sdtPr>
        <w:sdtContent>
          <w:r w:rsidR="00E46DDF" w:rsidRPr="00E46DDF">
            <w:rPr>
              <w:color w:val="000000"/>
            </w:rPr>
            <w:t>(Wei et al., 2018)</w:t>
          </w:r>
        </w:sdtContent>
      </w:sdt>
      <w:r w:rsidR="00E46F6D">
        <w:rPr>
          <w:color w:val="000000"/>
        </w:rPr>
        <w:t xml:space="preserve">. </w:t>
      </w:r>
      <w:r w:rsidR="00F42AED" w:rsidRPr="00F42AED">
        <w:t xml:space="preserve">In any case, in this study, iron </w:t>
      </w:r>
      <w:r w:rsidR="000D347C">
        <w:t>resulted</w:t>
      </w:r>
      <w:r w:rsidR="00F42AED" w:rsidRPr="00F42AED">
        <w:t xml:space="preserve"> to be the </w:t>
      </w:r>
      <w:r w:rsidR="000D347C">
        <w:t xml:space="preserve">best </w:t>
      </w:r>
      <w:r w:rsidR="00F42AED" w:rsidRPr="00F42AED">
        <w:t>doping agent</w:t>
      </w:r>
      <w:r w:rsidR="000D347C">
        <w:t xml:space="preserve">: due to its </w:t>
      </w:r>
      <w:r w:rsidR="00F42AED" w:rsidRPr="00F42AED">
        <w:t xml:space="preserve">similar </w:t>
      </w:r>
      <w:r w:rsidR="00F42AED">
        <w:t>ionic</w:t>
      </w:r>
      <w:r w:rsidR="00F42AED" w:rsidRPr="00F42AED">
        <w:t xml:space="preserve"> radius to titanium</w:t>
      </w:r>
      <w:r w:rsidR="000D347C">
        <w:t>,</w:t>
      </w:r>
      <w:r w:rsidR="00F42AED" w:rsidRPr="00F42AED">
        <w:t xml:space="preserve"> it can </w:t>
      </w:r>
      <w:r w:rsidR="00F42AED" w:rsidRPr="00F42AED">
        <w:lastRenderedPageBreak/>
        <w:t>effectively substitute for it in the crystal lattice of titania ensuring effective doping</w:t>
      </w:r>
      <w:r w:rsidR="00F42AED">
        <w:t xml:space="preserve"> (Ti</w:t>
      </w:r>
      <w:r w:rsidR="00F42AED" w:rsidRPr="00F42AED">
        <w:rPr>
          <w:vertAlign w:val="superscript"/>
        </w:rPr>
        <w:t>4+</w:t>
      </w:r>
      <w:r w:rsidR="00F42AED">
        <w:t xml:space="preserve"> is 0.68 </w:t>
      </w:r>
      <w:r w:rsidR="00F42AED" w:rsidRPr="00F42AED">
        <w:rPr>
          <w:rFonts w:eastAsia="AdvP4DF60E" w:cs="Arial"/>
          <w:szCs w:val="18"/>
        </w:rPr>
        <w:t>A˚</w:t>
      </w:r>
      <w:r w:rsidR="00F42AED">
        <w:rPr>
          <w:rFonts w:eastAsia="AdvP4DF60E" w:cs="Arial"/>
          <w:szCs w:val="18"/>
        </w:rPr>
        <w:t xml:space="preserve"> and Fe</w:t>
      </w:r>
      <w:r w:rsidR="00F42AED" w:rsidRPr="00F42AED">
        <w:rPr>
          <w:rFonts w:eastAsia="AdvP4DF60E" w:cs="Arial"/>
          <w:szCs w:val="18"/>
          <w:vertAlign w:val="superscript"/>
        </w:rPr>
        <w:t>3+</w:t>
      </w:r>
      <w:r w:rsidR="00F42AED">
        <w:rPr>
          <w:rFonts w:eastAsia="AdvP4DF60E" w:cs="Arial"/>
          <w:szCs w:val="18"/>
        </w:rPr>
        <w:t xml:space="preserve"> is 0.64 </w:t>
      </w:r>
      <w:r w:rsidR="00F42AED" w:rsidRPr="00F42AED">
        <w:rPr>
          <w:rFonts w:eastAsia="AdvP4DF60E" w:cs="Arial"/>
          <w:szCs w:val="18"/>
        </w:rPr>
        <w:t>A˚</w:t>
      </w:r>
      <w:r w:rsidR="00F42AED">
        <w:rPr>
          <w:rFonts w:eastAsia="AdvP4DF60E" w:cs="Arial"/>
          <w:szCs w:val="18"/>
        </w:rPr>
        <w:t xml:space="preserve">) </w:t>
      </w:r>
      <w:sdt>
        <w:sdtPr>
          <w:rPr>
            <w:rFonts w:eastAsia="AdvP4DF60E" w:cs="Arial"/>
            <w:color w:val="000000"/>
            <w:szCs w:val="18"/>
          </w:rPr>
          <w:tag w:val="MENDELEY_CITATION_v3_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"/>
          <w:id w:val="-1782407713"/>
          <w:placeholder>
            <w:docPart w:val="DefaultPlaceholder_-1854013440"/>
          </w:placeholder>
        </w:sdtPr>
        <w:sdtContent>
          <w:r w:rsidR="00E46DDF" w:rsidRPr="00E46DDF">
            <w:rPr>
              <w:rFonts w:eastAsia="AdvP4DF60E" w:cs="Arial"/>
              <w:color w:val="000000"/>
              <w:szCs w:val="18"/>
            </w:rPr>
            <w:t>(Wang et al., 2005)</w:t>
          </w:r>
        </w:sdtContent>
      </w:sdt>
      <w:r w:rsidR="00037A80">
        <w:rPr>
          <w:rFonts w:eastAsia="AdvP4DF60E" w:cs="Arial"/>
          <w:color w:val="000000"/>
          <w:szCs w:val="18"/>
        </w:rPr>
        <w:t>.</w:t>
      </w:r>
    </w:p>
    <w:p w14:paraId="48CBC73E" w14:textId="54C49613" w:rsidR="000D347C" w:rsidRDefault="00F42AED" w:rsidP="005728D0">
      <w:pPr>
        <w:pStyle w:val="CETBodytext"/>
      </w:pPr>
      <w:r>
        <w:t>sTiO</w:t>
      </w:r>
      <w:r w:rsidRPr="00F42AED">
        <w:rPr>
          <w:vertAlign w:val="subscript"/>
        </w:rPr>
        <w:t>2</w:t>
      </w:r>
      <w:r w:rsidRPr="00F42AED">
        <w:t xml:space="preserve">-based samples doped with iron </w:t>
      </w:r>
      <w:r w:rsidR="00457C51">
        <w:t>(Fe</w:t>
      </w:r>
      <w:r w:rsidR="00457C51" w:rsidRPr="00457C51">
        <w:rPr>
          <w:vertAlign w:val="subscript"/>
        </w:rPr>
        <w:t>2</w:t>
      </w:r>
      <w:r w:rsidR="00457C51">
        <w:t>O</w:t>
      </w:r>
      <w:r w:rsidR="00457C51" w:rsidRPr="00457C51">
        <w:rPr>
          <w:vertAlign w:val="subscript"/>
        </w:rPr>
        <w:t>3</w:t>
      </w:r>
      <w:r w:rsidR="00457C51">
        <w:t>/TiO</w:t>
      </w:r>
      <w:r w:rsidR="00457C51" w:rsidRPr="00457C51">
        <w:rPr>
          <w:vertAlign w:val="subscript"/>
        </w:rPr>
        <w:t>2</w:t>
      </w:r>
      <w:r w:rsidR="00457C51">
        <w:t xml:space="preserve"> and 1%Fe-TiO</w:t>
      </w:r>
      <w:r w:rsidR="00457C51" w:rsidRPr="00457C51">
        <w:rPr>
          <w:vertAlign w:val="subscript"/>
        </w:rPr>
        <w:t>2</w:t>
      </w:r>
      <w:r w:rsidR="00457C51">
        <w:t xml:space="preserve">) </w:t>
      </w:r>
      <w:r w:rsidRPr="00F42AED">
        <w:t>showed comparable removal performance</w:t>
      </w:r>
      <w:r w:rsidR="000D347C">
        <w:t>.</w:t>
      </w:r>
      <w:r w:rsidRPr="00F42AED">
        <w:t xml:space="preserve"> </w:t>
      </w:r>
      <w:r w:rsidR="000D347C">
        <w:t>I</w:t>
      </w:r>
      <w:r w:rsidRPr="00F42AED">
        <w:t>n fact</w:t>
      </w:r>
      <w:r w:rsidR="000D347C">
        <w:t>,</w:t>
      </w:r>
      <w:r w:rsidRPr="00F42AED">
        <w:t xml:space="preserve"> after 3 hours of irradiation </w:t>
      </w:r>
      <w:r w:rsidR="000D347C">
        <w:t xml:space="preserve">a </w:t>
      </w:r>
      <w:r w:rsidRPr="00F42AED">
        <w:t>remov</w:t>
      </w:r>
      <w:r w:rsidR="000D347C">
        <w:t>al of about</w:t>
      </w:r>
      <w:r w:rsidRPr="00F42AED">
        <w:t xml:space="preserve"> 57 % of the contaminant</w:t>
      </w:r>
      <w:r w:rsidR="000D347C">
        <w:t xml:space="preserve"> was obtained with both catalysts.</w:t>
      </w:r>
      <w:r w:rsidR="00D12F16">
        <w:t xml:space="preserve"> </w:t>
      </w:r>
      <w:r w:rsidR="000D347C">
        <w:t>Iron</w:t>
      </w:r>
      <w:r w:rsidR="000D347C" w:rsidRPr="00D12F16">
        <w:t xml:space="preserve"> </w:t>
      </w:r>
      <w:r w:rsidR="00D12F16" w:rsidRPr="00D12F16">
        <w:t>substitution form</w:t>
      </w:r>
      <w:r w:rsidR="000D347C">
        <w:t>ed</w:t>
      </w:r>
      <w:r w:rsidR="00D12F16" w:rsidRPr="00D12F16">
        <w:t xml:space="preserve"> </w:t>
      </w:r>
      <w:r w:rsidR="008D16D4">
        <w:t>a</w:t>
      </w:r>
      <w:r w:rsidR="00D12F16" w:rsidRPr="00D12F16">
        <w:t xml:space="preserve"> Fe-O-Ti bond that allow</w:t>
      </w:r>
      <w:r w:rsidR="000D347C">
        <w:t>ed</w:t>
      </w:r>
      <w:r w:rsidR="00D12F16" w:rsidRPr="00D12F16">
        <w:t xml:space="preserve"> the material to absorb visible radiation</w:t>
      </w:r>
      <w:r w:rsidR="000D347C">
        <w:t>, thus</w:t>
      </w:r>
      <w:r w:rsidR="00D12F16" w:rsidRPr="00D12F16">
        <w:t xml:space="preserve"> resulting </w:t>
      </w:r>
      <w:r w:rsidR="000D347C">
        <w:t xml:space="preserve">in </w:t>
      </w:r>
      <w:r w:rsidR="00D12F16" w:rsidRPr="00D12F16">
        <w:t>more effective production of hydroxyl radicals</w:t>
      </w:r>
      <w:r w:rsidR="00D12F16">
        <w:t xml:space="preserve"> </w:t>
      </w:r>
      <w:sdt>
        <w:sdtPr>
          <w:rPr>
            <w:color w:val="000000"/>
          </w:rPr>
          <w:tag w:val="MENDELEY_CITATION_v3_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"/>
          <w:id w:val="239911370"/>
          <w:placeholder>
            <w:docPart w:val="DefaultPlaceholder_-1854013440"/>
          </w:placeholder>
        </w:sdtPr>
        <w:sdtContent>
          <w:r w:rsidR="00E46DDF" w:rsidRPr="00E46DDF">
            <w:rPr>
              <w:color w:val="000000"/>
            </w:rPr>
            <w:t>(Abbas et al., 2016)</w:t>
          </w:r>
        </w:sdtContent>
      </w:sdt>
      <w:r w:rsidR="00D12F16" w:rsidRPr="00D12F16">
        <w:t xml:space="preserve">. </w:t>
      </w:r>
      <w:r w:rsidR="000D347C">
        <w:t>Moreover</w:t>
      </w:r>
      <w:r w:rsidR="00D12F16" w:rsidRPr="00D12F16">
        <w:t>, coupling titania with hemat</w:t>
      </w:r>
      <w:r w:rsidR="000D347C">
        <w:t>i</w:t>
      </w:r>
      <w:r w:rsidR="00D12F16" w:rsidRPr="00D12F16">
        <w:t>te (</w:t>
      </w:r>
      <w:r w:rsidR="00E46F6D">
        <w:t>or</w:t>
      </w:r>
      <w:r w:rsidR="000D347C">
        <w:t xml:space="preserve"> </w:t>
      </w:r>
      <w:r w:rsidR="00D12F16" w:rsidRPr="00D12F16">
        <w:t xml:space="preserve">more </w:t>
      </w:r>
      <w:r w:rsidR="000D347C">
        <w:t>in general,</w:t>
      </w:r>
      <w:r w:rsidR="000D347C" w:rsidRPr="00D12F16">
        <w:t xml:space="preserve"> </w:t>
      </w:r>
      <w:r w:rsidR="00D12F16" w:rsidRPr="00D12F16">
        <w:t>with lower band gap semiconductors) result</w:t>
      </w:r>
      <w:r w:rsidR="000D347C">
        <w:t>s</w:t>
      </w:r>
      <w:r w:rsidR="00D12F16" w:rsidRPr="00D12F16">
        <w:t xml:space="preserve"> in a physical separation of photogenerated charges since electrons tend to accumulate in the lower energy semiconductor and positive gaps do the opposite, so the probability of recombination decreases</w:t>
      </w:r>
      <w:r w:rsidR="00D12F16">
        <w:t xml:space="preserve"> </w:t>
      </w:r>
      <w:sdt>
        <w:sdtPr>
          <w:rPr>
            <w:color w:val="000000"/>
          </w:rPr>
          <w:tag w:val="MENDELEY_CITATION_v3_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"/>
          <w:id w:val="1828863575"/>
          <w:placeholder>
            <w:docPart w:val="DefaultPlaceholder_-1854013440"/>
          </w:placeholder>
        </w:sdtPr>
        <w:sdtContent>
          <w:r w:rsidR="00E46DDF" w:rsidRPr="00E46DDF">
            <w:rPr>
              <w:color w:val="000000"/>
            </w:rPr>
            <w:t>(Ola, 2014)</w:t>
          </w:r>
        </w:sdtContent>
      </w:sdt>
      <w:r w:rsidR="006473C8">
        <w:rPr>
          <w:color w:val="000000"/>
        </w:rPr>
        <w:t>.</w:t>
      </w:r>
    </w:p>
    <w:p w14:paraId="310C8AFF" w14:textId="64032394" w:rsidR="00D12F16" w:rsidRPr="005728D0" w:rsidRDefault="00D12F16" w:rsidP="005728D0">
      <w:pPr>
        <w:pStyle w:val="CETBodytext"/>
      </w:pPr>
      <w:r w:rsidRPr="00D12F16">
        <w:t xml:space="preserve">Although the </w:t>
      </w:r>
      <w:r w:rsidR="000D347C">
        <w:t xml:space="preserve">two </w:t>
      </w:r>
      <w:r w:rsidR="00E834AB">
        <w:t>iron-based</w:t>
      </w:r>
      <w:r w:rsidR="000D347C">
        <w:t xml:space="preserve"> catalysts </w:t>
      </w:r>
      <w:r w:rsidRPr="00D12F16">
        <w:t>showed</w:t>
      </w:r>
      <w:r w:rsidR="000D347C">
        <w:t xml:space="preserve"> almost</w:t>
      </w:r>
      <w:r w:rsidRPr="00D12F16">
        <w:t xml:space="preserve"> the same performance</w:t>
      </w:r>
      <w:r w:rsidR="000D347C">
        <w:t>s,</w:t>
      </w:r>
      <w:r w:rsidRPr="00D12F16">
        <w:t xml:space="preserve"> </w:t>
      </w:r>
      <w:r w:rsidR="008D16D4">
        <w:t>considering</w:t>
      </w:r>
      <w:r w:rsidRPr="00D12F16">
        <w:t xml:space="preserve"> the different synthesis </w:t>
      </w:r>
      <w:r w:rsidR="008D16D4">
        <w:t>strategies</w:t>
      </w:r>
      <w:r w:rsidRPr="00D12F16">
        <w:t>, the 1%</w:t>
      </w:r>
      <w:r>
        <w:t>Fe-TiO</w:t>
      </w:r>
      <w:r w:rsidRPr="00D12F16">
        <w:rPr>
          <w:vertAlign w:val="subscript"/>
        </w:rPr>
        <w:t>2</w:t>
      </w:r>
      <w:r w:rsidRPr="00D12F16">
        <w:t xml:space="preserve"> material could be considered better than </w:t>
      </w:r>
      <w:r>
        <w:t>Fe</w:t>
      </w:r>
      <w:r w:rsidRPr="00457C51">
        <w:rPr>
          <w:vertAlign w:val="subscript"/>
        </w:rPr>
        <w:t>2</w:t>
      </w:r>
      <w:r>
        <w:t>O</w:t>
      </w:r>
      <w:r w:rsidRPr="00457C51">
        <w:rPr>
          <w:vertAlign w:val="subscript"/>
        </w:rPr>
        <w:t>3</w:t>
      </w:r>
      <w:r>
        <w:t>/TiO</w:t>
      </w:r>
      <w:r w:rsidRPr="00457C51">
        <w:rPr>
          <w:vertAlign w:val="subscript"/>
        </w:rPr>
        <w:t>2</w:t>
      </w:r>
      <w:r w:rsidRPr="00D12F16">
        <w:t xml:space="preserve"> because the </w:t>
      </w:r>
      <w:r w:rsidR="000D347C">
        <w:t xml:space="preserve">simplicity of the </w:t>
      </w:r>
      <w:r w:rsidRPr="00D12F16">
        <w:t xml:space="preserve">synthesis via </w:t>
      </w:r>
      <w:r>
        <w:t>“</w:t>
      </w:r>
      <w:r w:rsidRPr="00D12F16">
        <w:t>solid</w:t>
      </w:r>
      <w:r>
        <w:t>-</w:t>
      </w:r>
      <w:r w:rsidRPr="00D12F16">
        <w:t>state</w:t>
      </w:r>
      <w:r>
        <w:t>”</w:t>
      </w:r>
      <w:r w:rsidRPr="00D12F16">
        <w:t xml:space="preserve"> and</w:t>
      </w:r>
      <w:r w:rsidR="000D347C">
        <w:t>,</w:t>
      </w:r>
      <w:r w:rsidRPr="00D12F16">
        <w:t xml:space="preserve"> especially</w:t>
      </w:r>
      <w:r w:rsidR="000D347C">
        <w:t>,</w:t>
      </w:r>
      <w:r w:rsidRPr="00D12F16">
        <w:t xml:space="preserve"> the doping step does not involve the development of aqueous solutions to be processed</w:t>
      </w:r>
      <w:r w:rsidR="008D16D4">
        <w:t>.</w:t>
      </w:r>
    </w:p>
    <w:p w14:paraId="68D26B83" w14:textId="483A2582" w:rsidR="00600535" w:rsidRDefault="00600535" w:rsidP="00600535">
      <w:pPr>
        <w:pStyle w:val="CETHeading1"/>
        <w:rPr>
          <w:lang w:val="en-GB"/>
        </w:rPr>
      </w:pPr>
      <w:r w:rsidRPr="00B57B36">
        <w:rPr>
          <w:lang w:val="en-GB"/>
        </w:rPr>
        <w:t>Conclusions</w:t>
      </w:r>
      <w:r w:rsidR="002C7552">
        <w:rPr>
          <w:lang w:val="en-GB"/>
        </w:rPr>
        <w:t xml:space="preserve"> </w:t>
      </w:r>
    </w:p>
    <w:p w14:paraId="4A2B6743" w14:textId="0E6A7731" w:rsidR="0002153F" w:rsidRDefault="006A60F0" w:rsidP="0002153F">
      <w:pPr>
        <w:pStyle w:val="CETBodytext"/>
        <w:rPr>
          <w:b/>
        </w:rPr>
      </w:pPr>
      <w:r w:rsidRPr="006A60F0">
        <w:t>In this work, the synthesis of different photocatalysts capable of working under visible light based on</w:t>
      </w:r>
      <w:r>
        <w:rPr>
          <w:b/>
        </w:rPr>
        <w:t xml:space="preserve"> </w:t>
      </w:r>
      <w:r w:rsidRPr="006A60F0">
        <w:t xml:space="preserve">synthesized </w:t>
      </w:r>
      <w:r w:rsidRPr="0002153F">
        <w:t>titania (sTiO</w:t>
      </w:r>
      <w:r w:rsidRPr="0002153F">
        <w:rPr>
          <w:vertAlign w:val="subscript"/>
        </w:rPr>
        <w:t>2</w:t>
      </w:r>
      <w:r w:rsidRPr="0002153F">
        <w:t xml:space="preserve">) and commercial titania (P25) was </w:t>
      </w:r>
      <w:r w:rsidR="000D347C">
        <w:t>carried out</w:t>
      </w:r>
      <w:r w:rsidR="000D347C" w:rsidRPr="0002153F">
        <w:t xml:space="preserve"> </w:t>
      </w:r>
      <w:r w:rsidRPr="0002153F">
        <w:t>and their performance was tested by evaluating the removal of MB 5 ppm used as a model pollutant.</w:t>
      </w:r>
      <w:r w:rsidR="0002153F" w:rsidRPr="0002153F">
        <w:t xml:space="preserve"> In particular, sTiO</w:t>
      </w:r>
      <w:r w:rsidR="0002153F" w:rsidRPr="0002153F">
        <w:rPr>
          <w:vertAlign w:val="subscript"/>
        </w:rPr>
        <w:t>2</w:t>
      </w:r>
      <w:r w:rsidR="0002153F" w:rsidRPr="0002153F">
        <w:t>, P25, Fe</w:t>
      </w:r>
      <w:r w:rsidR="0002153F" w:rsidRPr="0002153F">
        <w:rPr>
          <w:vertAlign w:val="subscript"/>
        </w:rPr>
        <w:t>2</w:t>
      </w:r>
      <w:r w:rsidR="0002153F" w:rsidRPr="0002153F">
        <w:t>O</w:t>
      </w:r>
      <w:r w:rsidR="0002153F" w:rsidRPr="0002153F">
        <w:rPr>
          <w:vertAlign w:val="subscript"/>
        </w:rPr>
        <w:t>3</w:t>
      </w:r>
      <w:r w:rsidR="0002153F" w:rsidRPr="0002153F">
        <w:t>/TiO</w:t>
      </w:r>
      <w:r w:rsidR="0002153F" w:rsidRPr="0002153F">
        <w:rPr>
          <w:vertAlign w:val="subscript"/>
        </w:rPr>
        <w:t>2</w:t>
      </w:r>
      <w:r w:rsidR="0002153F" w:rsidRPr="0002153F">
        <w:t>, Fe</w:t>
      </w:r>
      <w:r w:rsidR="0002153F" w:rsidRPr="0002153F">
        <w:rPr>
          <w:vertAlign w:val="subscript"/>
        </w:rPr>
        <w:t>2</w:t>
      </w:r>
      <w:r w:rsidR="0002153F" w:rsidRPr="0002153F">
        <w:t>O</w:t>
      </w:r>
      <w:r w:rsidR="0002153F" w:rsidRPr="0002153F">
        <w:rPr>
          <w:vertAlign w:val="subscript"/>
        </w:rPr>
        <w:t>3</w:t>
      </w:r>
      <w:r w:rsidR="0002153F" w:rsidRPr="0002153F">
        <w:t>/P25, 1%Fe-TiO</w:t>
      </w:r>
      <w:r w:rsidR="0002153F" w:rsidRPr="0002153F">
        <w:rPr>
          <w:vertAlign w:val="subscript"/>
        </w:rPr>
        <w:t>2</w:t>
      </w:r>
      <w:r w:rsidR="0002153F" w:rsidRPr="0002153F">
        <w:t>, 1%Fe-P25, Ag/Sr-TiO</w:t>
      </w:r>
      <w:r w:rsidR="0002153F" w:rsidRPr="0002153F">
        <w:rPr>
          <w:vertAlign w:val="subscript"/>
        </w:rPr>
        <w:t xml:space="preserve">2 </w:t>
      </w:r>
      <w:r w:rsidR="0002153F" w:rsidRPr="0002153F">
        <w:t>were tested. It has been shown that pure titania does not exhibit photocatalytic activity under visible light as no difference in removals of the contami</w:t>
      </w:r>
      <w:r w:rsidR="000D347C">
        <w:t>n</w:t>
      </w:r>
      <w:r w:rsidR="0002153F" w:rsidRPr="0002153F">
        <w:t>ant was observed between tests performed in the light and in the dark</w:t>
      </w:r>
      <w:r w:rsidR="0002153F">
        <w:rPr>
          <w:b/>
        </w:rPr>
        <w:t>.</w:t>
      </w:r>
      <w:r w:rsidR="0002153F" w:rsidRPr="0002153F">
        <w:t xml:space="preserve"> Attempts </w:t>
      </w:r>
      <w:r w:rsidR="000D347C">
        <w:t>of</w:t>
      </w:r>
      <w:r w:rsidR="000D347C" w:rsidRPr="0002153F">
        <w:t xml:space="preserve"> </w:t>
      </w:r>
      <w:r w:rsidR="0002153F" w:rsidRPr="0002153F">
        <w:t xml:space="preserve">doping with different elements (Fe, Ag, and Sr) proved </w:t>
      </w:r>
      <w:r w:rsidR="000D347C">
        <w:t xml:space="preserve">to be </w:t>
      </w:r>
      <w:r w:rsidR="0002153F" w:rsidRPr="0002153F">
        <w:t>successful</w:t>
      </w:r>
      <w:r w:rsidR="000D347C">
        <w:t>, since all</w:t>
      </w:r>
      <w:r w:rsidR="0002153F" w:rsidRPr="0002153F">
        <w:t xml:space="preserve"> the </w:t>
      </w:r>
      <w:r w:rsidR="000D347C">
        <w:t xml:space="preserve">proposed </w:t>
      </w:r>
      <w:r w:rsidR="0002153F" w:rsidRPr="0002153F">
        <w:t>photocatalysts</w:t>
      </w:r>
      <w:r w:rsidR="000D347C">
        <w:t xml:space="preserve"> exhibited a significant photocatalytic efficiency in contaminant removal</w:t>
      </w:r>
      <w:r w:rsidR="0002153F" w:rsidRPr="0002153F">
        <w:t xml:space="preserve"> </w:t>
      </w:r>
      <w:r w:rsidR="000D347C">
        <w:t xml:space="preserve">when </w:t>
      </w:r>
      <w:r w:rsidR="0002153F" w:rsidRPr="0002153F">
        <w:t>exposed to visible radiation</w:t>
      </w:r>
      <w:r w:rsidR="000D347C">
        <w:t>.</w:t>
      </w:r>
      <w:r w:rsidR="0002153F" w:rsidRPr="0002153F">
        <w:t xml:space="preserve"> </w:t>
      </w:r>
    </w:p>
    <w:p w14:paraId="232B7514" w14:textId="4C980617" w:rsidR="0002153F" w:rsidRPr="0002153F" w:rsidRDefault="0002153F" w:rsidP="0002153F">
      <w:pPr>
        <w:pStyle w:val="CETBodytext"/>
        <w:rPr>
          <w:bCs/>
        </w:rPr>
      </w:pPr>
      <w:r>
        <w:rPr>
          <w:bCs/>
        </w:rPr>
        <w:t>T</w:t>
      </w:r>
      <w:r w:rsidRPr="0002153F">
        <w:rPr>
          <w:bCs/>
        </w:rPr>
        <w:t xml:space="preserve">he best performing materials were found to be </w:t>
      </w:r>
      <w:r>
        <w:rPr>
          <w:bCs/>
        </w:rPr>
        <w:t>sTiO</w:t>
      </w:r>
      <w:r w:rsidRPr="0002153F">
        <w:rPr>
          <w:bCs/>
          <w:vertAlign w:val="subscript"/>
        </w:rPr>
        <w:t>2</w:t>
      </w:r>
      <w:r w:rsidRPr="0002153F">
        <w:rPr>
          <w:bCs/>
        </w:rPr>
        <w:t>-based materials doped with iron</w:t>
      </w:r>
      <w:r>
        <w:rPr>
          <w:bCs/>
        </w:rPr>
        <w:t xml:space="preserve"> (</w:t>
      </w:r>
      <w:r w:rsidRPr="0002153F">
        <w:t>Fe</w:t>
      </w:r>
      <w:r w:rsidRPr="0002153F">
        <w:rPr>
          <w:vertAlign w:val="subscript"/>
        </w:rPr>
        <w:t>2</w:t>
      </w:r>
      <w:r w:rsidRPr="0002153F">
        <w:t>O</w:t>
      </w:r>
      <w:r w:rsidRPr="0002153F">
        <w:rPr>
          <w:vertAlign w:val="subscript"/>
        </w:rPr>
        <w:t>3</w:t>
      </w:r>
      <w:r w:rsidRPr="0002153F">
        <w:t>/TiO</w:t>
      </w:r>
      <w:r w:rsidRPr="0002153F">
        <w:rPr>
          <w:vertAlign w:val="subscript"/>
        </w:rPr>
        <w:t>2</w:t>
      </w:r>
      <w:r>
        <w:rPr>
          <w:vertAlign w:val="subscript"/>
        </w:rPr>
        <w:t xml:space="preserve"> </w:t>
      </w:r>
      <w:r w:rsidRPr="0002153F">
        <w:t>and</w:t>
      </w:r>
      <w:r>
        <w:t xml:space="preserve"> </w:t>
      </w:r>
      <w:r w:rsidRPr="0002153F">
        <w:t>1%Fe-TiO</w:t>
      </w:r>
      <w:r w:rsidRPr="0002153F">
        <w:rPr>
          <w:vertAlign w:val="subscript"/>
        </w:rPr>
        <w:t>2</w:t>
      </w:r>
      <w:r>
        <w:t xml:space="preserve">) </w:t>
      </w:r>
      <w:r w:rsidRPr="0002153F">
        <w:t>as both after 3 hours of irradiation removed 57% of the contaminant</w:t>
      </w:r>
      <w:r>
        <w:t>.</w:t>
      </w:r>
      <w:r w:rsidR="00793B19">
        <w:t xml:space="preserve"> </w:t>
      </w:r>
      <w:r w:rsidR="00793B19" w:rsidRPr="00793B19">
        <w:t>However, it can be argued that 1%Fe-TiO</w:t>
      </w:r>
      <w:r w:rsidR="00793B19" w:rsidRPr="00793B19">
        <w:rPr>
          <w:vertAlign w:val="subscript"/>
        </w:rPr>
        <w:t>2</w:t>
      </w:r>
      <w:r w:rsidR="00793B19" w:rsidRPr="00793B19">
        <w:t xml:space="preserve"> </w:t>
      </w:r>
      <w:r w:rsidR="000D347C">
        <w:t>produced</w:t>
      </w:r>
      <w:r w:rsidR="000D347C" w:rsidRPr="00793B19">
        <w:t xml:space="preserve"> </w:t>
      </w:r>
      <w:r w:rsidR="000D347C">
        <w:t>via “</w:t>
      </w:r>
      <w:r w:rsidR="000D347C" w:rsidRPr="00793B19">
        <w:t xml:space="preserve">solid-state" synthesis </w:t>
      </w:r>
      <w:r w:rsidR="000D347C">
        <w:t>is to be considered</w:t>
      </w:r>
      <w:r w:rsidR="00793B19" w:rsidRPr="00793B19">
        <w:t xml:space="preserve"> </w:t>
      </w:r>
      <w:r w:rsidR="000D347C">
        <w:t>as</w:t>
      </w:r>
      <w:r w:rsidR="00793B19" w:rsidRPr="00793B19">
        <w:t xml:space="preserve"> the best </w:t>
      </w:r>
      <w:r w:rsidR="000D347C">
        <w:t xml:space="preserve">catalyst, </w:t>
      </w:r>
      <w:r w:rsidR="00793B19" w:rsidRPr="00793B19">
        <w:t>as the synthesis is easy, fast, and cheap to perform and does not produce waste</w:t>
      </w:r>
      <w:r w:rsidR="00793B19">
        <w:t>water.</w:t>
      </w:r>
    </w:p>
    <w:p w14:paraId="675307DD" w14:textId="73D6B06F" w:rsidR="0002153F" w:rsidRPr="0002153F" w:rsidRDefault="00793B19" w:rsidP="006A60F0">
      <w:pPr>
        <w:pStyle w:val="CETReference"/>
        <w:jc w:val="both"/>
      </w:pPr>
      <w:r>
        <w:t xml:space="preserve"> </w:t>
      </w:r>
    </w:p>
    <w:p w14:paraId="428B022A" w14:textId="6AFCEF46" w:rsidR="00E65B91" w:rsidRDefault="00600535" w:rsidP="009F4332">
      <w:pPr>
        <w:pStyle w:val="CETReference"/>
      </w:pPr>
      <w:r w:rsidRPr="00B57B36">
        <w:t>References</w:t>
      </w:r>
    </w:p>
    <w:p w14:paraId="03CEA04C" w14:textId="358E804E" w:rsidR="00C52C3C" w:rsidRDefault="00C52C3C" w:rsidP="00E65B91">
      <w:pPr>
        <w:pStyle w:val="CETReferencetext"/>
      </w:pPr>
    </w:p>
    <w:sdt>
      <w:sdtPr>
        <w:rPr>
          <w:lang w:val="en-US"/>
        </w:rPr>
        <w:tag w:val="MENDELEY_BIBLIOGRAPHY"/>
        <w:id w:val="-465051293"/>
        <w:placeholder>
          <w:docPart w:val="DefaultPlaceholder_-1854013440"/>
        </w:placeholder>
      </w:sdtPr>
      <w:sdtContent>
        <w:p w14:paraId="4EC4CB8D" w14:textId="77777777" w:rsidR="00E46DDF" w:rsidRDefault="00E46DDF">
          <w:pPr>
            <w:autoSpaceDE w:val="0"/>
            <w:autoSpaceDN w:val="0"/>
            <w:ind w:hanging="480"/>
            <w:divId w:val="1279292512"/>
            <w:rPr>
              <w:sz w:val="24"/>
              <w:szCs w:val="24"/>
            </w:rPr>
          </w:pPr>
          <w:r>
            <w:t xml:space="preserve">Abbas, N., Shao, G. N., Haider, M. S., Imran, S. M., Park, S. S., &amp; Kim, H. T. (2016). Sol–gel synthesis of TiO2-Fe2O3 systems: Effects of Fe2O3 content and their photocatalytic properties. </w:t>
          </w:r>
          <w:r>
            <w:rPr>
              <w:i/>
              <w:iCs/>
            </w:rPr>
            <w:t>Journal of Industrial and Engineering Chemistry</w:t>
          </w:r>
          <w:r>
            <w:t xml:space="preserve">, </w:t>
          </w:r>
          <w:r>
            <w:rPr>
              <w:i/>
              <w:iCs/>
            </w:rPr>
            <w:t>39</w:t>
          </w:r>
          <w:r>
            <w:t>, 112–120. https://doi.org/10.1016/j.jiec.2016.05.015</w:t>
          </w:r>
        </w:p>
        <w:p w14:paraId="6EC1CE97" w14:textId="77777777" w:rsidR="00E46DDF" w:rsidRDefault="00E46DDF">
          <w:pPr>
            <w:autoSpaceDE w:val="0"/>
            <w:autoSpaceDN w:val="0"/>
            <w:ind w:hanging="480"/>
            <w:divId w:val="792209901"/>
          </w:pPr>
          <w:r>
            <w:t xml:space="preserve">Ahmed, M. A., El-Katori, E. E., &amp; Gharni, Z. H. (2013). Photocatalytic degradation of methylene blue dye using Fe2O 3/TiO2 nanoparticles prepared by sol-gel method. </w:t>
          </w:r>
          <w:r>
            <w:rPr>
              <w:i/>
              <w:iCs/>
            </w:rPr>
            <w:t>Journal of Alloys and Compounds</w:t>
          </w:r>
          <w:r>
            <w:t xml:space="preserve">, </w:t>
          </w:r>
          <w:r>
            <w:rPr>
              <w:i/>
              <w:iCs/>
            </w:rPr>
            <w:t>553</w:t>
          </w:r>
          <w:r>
            <w:t>, 19–29. https://doi.org/10.1016/j.jallcom.2012.10.038</w:t>
          </w:r>
        </w:p>
        <w:p w14:paraId="1C1F660D" w14:textId="77777777" w:rsidR="00E46DDF" w:rsidRDefault="00E46DDF">
          <w:pPr>
            <w:autoSpaceDE w:val="0"/>
            <w:autoSpaceDN w:val="0"/>
            <w:ind w:hanging="480"/>
            <w:divId w:val="64692127"/>
          </w:pPr>
          <w:r>
            <w:t xml:space="preserve">Akartasse, N., Azzaoui, K., Mejdoubi, E., Elansari, L. L., Hammouti, B., Siaj, M., Jodeh, S., Hanbali, G., Hamed, R., &amp; Rhazi, L. (2022). Chitosan-Hydroxyapatite Bio-Based Composite in Film Form: Synthesis and Application in Wastewater. </w:t>
          </w:r>
          <w:r>
            <w:rPr>
              <w:i/>
              <w:iCs/>
            </w:rPr>
            <w:t>Polymers</w:t>
          </w:r>
          <w:r>
            <w:t xml:space="preserve">, </w:t>
          </w:r>
          <w:r>
            <w:rPr>
              <w:i/>
              <w:iCs/>
            </w:rPr>
            <w:t>14</w:t>
          </w:r>
          <w:r>
            <w:t>(20). https://doi.org/10.3390/polym14204265</w:t>
          </w:r>
        </w:p>
        <w:p w14:paraId="7B9AC97A" w14:textId="77777777" w:rsidR="00E46DDF" w:rsidRDefault="00E46DDF">
          <w:pPr>
            <w:autoSpaceDE w:val="0"/>
            <w:autoSpaceDN w:val="0"/>
            <w:ind w:hanging="480"/>
            <w:divId w:val="788860793"/>
          </w:pPr>
          <w:r>
            <w:t xml:space="preserve">Akerdi, A. G., &amp; Bahrami, S. H. (2019). Application of heterogeneous nano-semiconductors for photocatalytic advanced oxidation of organic compounds: A review. In </w:t>
          </w:r>
          <w:r>
            <w:rPr>
              <w:i/>
              <w:iCs/>
            </w:rPr>
            <w:t>Journal of Environmental Chemical Engineering</w:t>
          </w:r>
          <w:r>
            <w:t xml:space="preserve"> (Vol. 7, Issue 5). Elsevier Ltd. https://doi.org/10.1016/j.jece.2019.103283</w:t>
          </w:r>
        </w:p>
        <w:p w14:paraId="7C303578" w14:textId="77777777" w:rsidR="00E46DDF" w:rsidRDefault="00E46DDF">
          <w:pPr>
            <w:autoSpaceDE w:val="0"/>
            <w:autoSpaceDN w:val="0"/>
            <w:ind w:hanging="480"/>
            <w:divId w:val="845707331"/>
          </w:pPr>
          <w:r>
            <w:t xml:space="preserve">Barba-Nieto, I., Caudillo-Flores, U., Fernández-García, M., &amp; Kubacka, A. (2020). Sunlight-Operated TiO2-Based Photocatalysts. In </w:t>
          </w:r>
          <w:r>
            <w:rPr>
              <w:i/>
              <w:iCs/>
            </w:rPr>
            <w:t>Molecules</w:t>
          </w:r>
          <w:r>
            <w:t xml:space="preserve"> (Vol. 25, Issue 17). MDPI AG. https://doi.org/10.3390/molecules25174008</w:t>
          </w:r>
        </w:p>
        <w:p w14:paraId="60802903" w14:textId="77777777" w:rsidR="00E46DDF" w:rsidRDefault="00E46DDF">
          <w:pPr>
            <w:autoSpaceDE w:val="0"/>
            <w:autoSpaceDN w:val="0"/>
            <w:ind w:hanging="480"/>
            <w:divId w:val="1128166458"/>
          </w:pPr>
          <w:r>
            <w:t xml:space="preserve">Bokov, D., Turki Jalil, A., Chupradit, S., Suksatan, W., Javed Ansari, M., Shewael, I. H., Valiev, G. H., &amp; Kianfar, E. (2021). Nanomaterial by Sol-Gel Method: Synthesis and Application. In </w:t>
          </w:r>
          <w:r>
            <w:rPr>
              <w:i/>
              <w:iCs/>
            </w:rPr>
            <w:t>Advances in Materials Science and Engineering</w:t>
          </w:r>
          <w:r>
            <w:t xml:space="preserve"> (Vol. 2021). Hindawi Limited. https://doi.org/10.1155/2021/5102014</w:t>
          </w:r>
        </w:p>
        <w:p w14:paraId="2FB25200" w14:textId="77777777" w:rsidR="00E46DDF" w:rsidRDefault="00E46DDF">
          <w:pPr>
            <w:autoSpaceDE w:val="0"/>
            <w:autoSpaceDN w:val="0"/>
            <w:ind w:hanging="480"/>
            <w:divId w:val="1844390284"/>
          </w:pPr>
          <w:r>
            <w:t xml:space="preserve">Khasawneh, O. F. S., Palaniandy, P., Palaniandy, P., Ahmadipour, M., Mohammadi, H., &amp; bin Hamdan, M. R. (2021). Removal of acetaminophen using Fe2O3-TiO2nanocomposites by photocatalysis under simulated solar irradiation: Optimization study. </w:t>
          </w:r>
          <w:r>
            <w:rPr>
              <w:i/>
              <w:iCs/>
            </w:rPr>
            <w:t>Journal of Environmental Chemical Engineering</w:t>
          </w:r>
          <w:r>
            <w:t xml:space="preserve">, </w:t>
          </w:r>
          <w:r>
            <w:rPr>
              <w:i/>
              <w:iCs/>
            </w:rPr>
            <w:t>9</w:t>
          </w:r>
          <w:r>
            <w:t>(1). https://doi.org/10.1016/j.jece.2020.104921</w:t>
          </w:r>
        </w:p>
        <w:p w14:paraId="670091C7" w14:textId="77777777" w:rsidR="00E46DDF" w:rsidRDefault="00E46DDF">
          <w:pPr>
            <w:autoSpaceDE w:val="0"/>
            <w:autoSpaceDN w:val="0"/>
            <w:ind w:hanging="480"/>
            <w:divId w:val="1834180818"/>
          </w:pPr>
          <w:r>
            <w:t xml:space="preserve">Kuriakose, S., Bhardwaj, N., Singh, J., Satpati, B., &amp; Mohapatra, S. (2013). Structural, optical and photocatalytic properties of flower-like ZnO nanostructures prepared by a facile wet chemical method. </w:t>
          </w:r>
          <w:r>
            <w:rPr>
              <w:i/>
              <w:iCs/>
            </w:rPr>
            <w:t>Beilstein Journal of Nanotechnology</w:t>
          </w:r>
          <w:r>
            <w:t xml:space="preserve">, </w:t>
          </w:r>
          <w:r>
            <w:rPr>
              <w:i/>
              <w:iCs/>
            </w:rPr>
            <w:t>4</w:t>
          </w:r>
          <w:r>
            <w:t>(1), 763–770. https://doi.org/10.3762/bjnano.4.87</w:t>
          </w:r>
        </w:p>
        <w:p w14:paraId="1BE57FF3" w14:textId="77777777" w:rsidR="00E46DDF" w:rsidRDefault="00E46DDF">
          <w:pPr>
            <w:autoSpaceDE w:val="0"/>
            <w:autoSpaceDN w:val="0"/>
            <w:ind w:hanging="480"/>
            <w:divId w:val="43330402"/>
          </w:pPr>
          <w:r>
            <w:lastRenderedPageBreak/>
            <w:t xml:space="preserve">Li, Y., Sun, S., Ma, M., Ouyang, Y., &amp; Yan, W. (2008). Kinetic study and model of the photocatalytic degradation of rhodamine B (RhB) by a TiO2-coated activated carbon catalyst: Effects of initial RhB content, light intensity and TiO2 content in the catalyst. In </w:t>
          </w:r>
          <w:r>
            <w:rPr>
              <w:i/>
              <w:iCs/>
            </w:rPr>
            <w:t>Chemical Engineering Journal</w:t>
          </w:r>
          <w:r>
            <w:t xml:space="preserve"> (Vol. 142, Issue 2, pp. 147–155). https://doi.org/10.1016/j.cej.2008.01.009</w:t>
          </w:r>
        </w:p>
        <w:p w14:paraId="4E6A3C08" w14:textId="77777777" w:rsidR="00E46DDF" w:rsidRDefault="00E46DDF">
          <w:pPr>
            <w:autoSpaceDE w:val="0"/>
            <w:autoSpaceDN w:val="0"/>
            <w:ind w:hanging="480"/>
            <w:divId w:val="1566603750"/>
          </w:pPr>
          <w:r>
            <w:t xml:space="preserve">Mashuri, S. I. S., Ibrahim, M. L., Kasim, M. F., Mastuli, M. S., Rashid, U., Abdullah, A. H., Islam, A., Asikin-Mijan, N., Tan, Y. H., Mansir, N., Kaus, N. H. M., &amp; Hin, T. Y. Y. (2020). Photocatalysis for organic wastewater treatment: From the basis to current challenges for society. In </w:t>
          </w:r>
          <w:r>
            <w:rPr>
              <w:i/>
              <w:iCs/>
            </w:rPr>
            <w:t>Catalysts</w:t>
          </w:r>
          <w:r>
            <w:t xml:space="preserve"> (Vol. 10, Issue 11, pp. 1–29). MDPI. https://doi.org/10.3390/catal10111260</w:t>
          </w:r>
        </w:p>
        <w:p w14:paraId="5C8DE5EE" w14:textId="77777777" w:rsidR="00E46DDF" w:rsidRDefault="00E46DDF">
          <w:pPr>
            <w:autoSpaceDE w:val="0"/>
            <w:autoSpaceDN w:val="0"/>
            <w:ind w:hanging="480"/>
            <w:divId w:val="103615924"/>
          </w:pPr>
          <w:r>
            <w:t xml:space="preserve">Mohan, H., Ramasamy, M., Ramalingam, V., Natesan, K., Duraisamy, M., Venkatachalam, J., Shin, T., &amp; Seralathan, K. K. (2021). Enhanced visible light-driven photocatalysis of iron-oxide/titania composite: Norfloxacin degradation mechanism and toxicity study. </w:t>
          </w:r>
          <w:r>
            <w:rPr>
              <w:i/>
              <w:iCs/>
            </w:rPr>
            <w:t>Journal of Hazardous Materials</w:t>
          </w:r>
          <w:r>
            <w:t xml:space="preserve">, </w:t>
          </w:r>
          <w:r>
            <w:rPr>
              <w:i/>
              <w:iCs/>
            </w:rPr>
            <w:t>412</w:t>
          </w:r>
          <w:r>
            <w:t>. https://doi.org/10.1016/j.jhazmat.2021.125330</w:t>
          </w:r>
        </w:p>
        <w:p w14:paraId="4ABAD24C" w14:textId="77777777" w:rsidR="00E46DDF" w:rsidRDefault="00E46DDF">
          <w:pPr>
            <w:autoSpaceDE w:val="0"/>
            <w:autoSpaceDN w:val="0"/>
            <w:ind w:hanging="480"/>
            <w:divId w:val="1086266885"/>
          </w:pPr>
          <w:r>
            <w:t xml:space="preserve">Ola, O. (2014). </w:t>
          </w:r>
          <w:r>
            <w:rPr>
              <w:i/>
              <w:iCs/>
            </w:rPr>
            <w:t>Effect of Metal Doping and Supports on TiO 2-based Catalysts for CO 2 Photoreduction</w:t>
          </w:r>
          <w:r>
            <w:t>.</w:t>
          </w:r>
        </w:p>
        <w:p w14:paraId="7C228A98" w14:textId="77777777" w:rsidR="00E46DDF" w:rsidRDefault="00E46DDF">
          <w:pPr>
            <w:autoSpaceDE w:val="0"/>
            <w:autoSpaceDN w:val="0"/>
            <w:ind w:hanging="480"/>
            <w:divId w:val="844897983"/>
          </w:pPr>
          <w:r>
            <w:t xml:space="preserve">Somma, S., Reverchon, E., &amp; Baldino, L. (2021). Water purification of classical and emerging organic pollutants: An extensive review. In </w:t>
          </w:r>
          <w:r>
            <w:rPr>
              <w:i/>
              <w:iCs/>
            </w:rPr>
            <w:t>ChemEngineering</w:t>
          </w:r>
          <w:r>
            <w:t xml:space="preserve"> (Vol. 5, Issue 3). MDPI AG. https://doi.org/10.3390/chemengineering5030047</w:t>
          </w:r>
        </w:p>
        <w:p w14:paraId="542BD304" w14:textId="77777777" w:rsidR="00E46DDF" w:rsidRDefault="00E46DDF">
          <w:pPr>
            <w:autoSpaceDE w:val="0"/>
            <w:autoSpaceDN w:val="0"/>
            <w:ind w:hanging="480"/>
            <w:divId w:val="610016391"/>
          </w:pPr>
          <w:r>
            <w:t xml:space="preserve">Torres-Limiñana, J., Feregrino-Pérez, A. A., Vega-González, M., Escobar-Alarcón, L., Cervantes-Chávez, J. A., &amp; Esquivel, K. (2022). Green Synthesis via Eucalyptus globulus L. Extract of Ag-TiO2 Catalyst: Antimicrobial Activity Evaluation toward Water Disinfection Process. </w:t>
          </w:r>
          <w:r>
            <w:rPr>
              <w:i/>
              <w:iCs/>
            </w:rPr>
            <w:t>Nanomaterials</w:t>
          </w:r>
          <w:r>
            <w:t xml:space="preserve">, </w:t>
          </w:r>
          <w:r>
            <w:rPr>
              <w:i/>
              <w:iCs/>
            </w:rPr>
            <w:t>12</w:t>
          </w:r>
          <w:r>
            <w:t>(11). https://doi.org/10.3390/nano12111944</w:t>
          </w:r>
        </w:p>
        <w:p w14:paraId="304B2C93" w14:textId="77777777" w:rsidR="00E46DDF" w:rsidRDefault="00E46DDF">
          <w:pPr>
            <w:autoSpaceDE w:val="0"/>
            <w:autoSpaceDN w:val="0"/>
            <w:ind w:hanging="480"/>
            <w:divId w:val="2000041766"/>
          </w:pPr>
          <w:r>
            <w:t xml:space="preserve">Wang, X. H., Li, J. G., Kamiyama, H., Katada, M., Ohashi, N., Moriyoshi, Y., &amp; Ishigaki, T. (2005). Pyrogenic iron(III)-doped TiO2 nanopowders synthesized in RF thermal plasma: Phase formation, defect structure, band gap, and magnetic properties. </w:t>
          </w:r>
          <w:r>
            <w:rPr>
              <w:i/>
              <w:iCs/>
            </w:rPr>
            <w:t>Journal of the American Chemical Society</w:t>
          </w:r>
          <w:r>
            <w:t xml:space="preserve">, </w:t>
          </w:r>
          <w:r>
            <w:rPr>
              <w:i/>
              <w:iCs/>
            </w:rPr>
            <w:t>127</w:t>
          </w:r>
          <w:r>
            <w:t>(31), 10982–10990. https://doi.org/10.1021/ja051240n</w:t>
          </w:r>
        </w:p>
        <w:p w14:paraId="4EF9E15D" w14:textId="77777777" w:rsidR="00E46DDF" w:rsidRDefault="00E46DDF">
          <w:pPr>
            <w:autoSpaceDE w:val="0"/>
            <w:autoSpaceDN w:val="0"/>
            <w:ind w:hanging="480"/>
            <w:divId w:val="1401708293"/>
          </w:pPr>
          <w:r>
            <w:t xml:space="preserve">Wei, X., Li, J., Liu, Z., Yang, X., Naraginti, S., Xu, X., &amp; Wang, X. (2018). Visible light photocatalytic mineralization of 17α-ethinyl estradiol (EE2) and hydrogen evolution over silver and strontium modified TiO2 nanoparticles: Mechanisms and phytotoxicity assessment. </w:t>
          </w:r>
          <w:r>
            <w:rPr>
              <w:i/>
              <w:iCs/>
            </w:rPr>
            <w:t>RSC Advances</w:t>
          </w:r>
          <w:r>
            <w:t xml:space="preserve">, </w:t>
          </w:r>
          <w:r>
            <w:rPr>
              <w:i/>
              <w:iCs/>
            </w:rPr>
            <w:t>8</w:t>
          </w:r>
          <w:r>
            <w:t>(8), 4329–4339. https://doi.org/10.1039/c7ra12638g</w:t>
          </w:r>
        </w:p>
        <w:p w14:paraId="3E02ACEC" w14:textId="63477E15" w:rsidR="00D37B3B" w:rsidRPr="00D37B3B" w:rsidRDefault="00E46DDF" w:rsidP="00D37B3B">
          <w:pPr>
            <w:pStyle w:val="CETBodytext"/>
          </w:pPr>
          <w:r>
            <w:t> </w:t>
          </w:r>
        </w:p>
      </w:sdtContent>
    </w:sdt>
    <w:sectPr w:rsidR="00D37B3B" w:rsidRPr="00D37B3B"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A95C14" w14:textId="77777777" w:rsidR="00A03042" w:rsidRDefault="00A03042" w:rsidP="004F5E36">
      <w:r>
        <w:separator/>
      </w:r>
    </w:p>
  </w:endnote>
  <w:endnote w:type="continuationSeparator" w:id="0">
    <w:p w14:paraId="29E4F7DA" w14:textId="77777777" w:rsidR="00A03042" w:rsidRDefault="00A03042"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dvP4DF60E">
    <w:altName w:val="Malgun Gothic"/>
    <w:panose1 w:val="00000000000000000000"/>
    <w:charset w:val="80"/>
    <w:family w:val="auto"/>
    <w:notTrueType/>
    <w:pitch w:val="default"/>
    <w:sig w:usb0="00000001" w:usb1="09070000" w:usb2="00000010" w:usb3="00000000" w:csb0="000A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8053E3" w14:textId="77777777" w:rsidR="00A03042" w:rsidRDefault="00A03042" w:rsidP="004F5E36">
      <w:r>
        <w:separator/>
      </w:r>
    </w:p>
  </w:footnote>
  <w:footnote w:type="continuationSeparator" w:id="0">
    <w:p w14:paraId="7AE2581F" w14:textId="77777777" w:rsidR="00A03042" w:rsidRDefault="00A03042"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1E8B6098"/>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438217E"/>
    <w:multiLevelType w:val="multilevel"/>
    <w:tmpl w:val="F660666C"/>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5750D61"/>
    <w:multiLevelType w:val="multilevel"/>
    <w:tmpl w:val="FB0CC404"/>
    <w:lvl w:ilvl="0">
      <w:start w:val="2"/>
      <w:numFmt w:val="decimal"/>
      <w:lvlText w:val="%1"/>
      <w:lvlJc w:val="left"/>
      <w:pPr>
        <w:ind w:left="384" w:hanging="384"/>
      </w:pPr>
      <w:rPr>
        <w:rFonts w:hint="default"/>
      </w:rPr>
    </w:lvl>
    <w:lvl w:ilvl="1">
      <w:start w:val="4"/>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0"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B2773B6"/>
    <w:multiLevelType w:val="multilevel"/>
    <w:tmpl w:val="C1AC836E"/>
    <w:lvl w:ilvl="0">
      <w:start w:val="2"/>
      <w:numFmt w:val="decimal"/>
      <w:lvlText w:val="%1"/>
      <w:lvlJc w:val="left"/>
      <w:pPr>
        <w:ind w:left="384" w:hanging="384"/>
      </w:pPr>
      <w:rPr>
        <w:rFonts w:hint="default"/>
      </w:rPr>
    </w:lvl>
    <w:lvl w:ilvl="1">
      <w:start w:val="6"/>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1208446934">
    <w:abstractNumId w:val="11"/>
  </w:num>
  <w:num w:numId="2" w16cid:durableId="253438396">
    <w:abstractNumId w:val="8"/>
  </w:num>
  <w:num w:numId="3" w16cid:durableId="1723015133">
    <w:abstractNumId w:val="3"/>
  </w:num>
  <w:num w:numId="4" w16cid:durableId="721751926">
    <w:abstractNumId w:val="2"/>
  </w:num>
  <w:num w:numId="5" w16cid:durableId="2122914405">
    <w:abstractNumId w:val="1"/>
  </w:num>
  <w:num w:numId="6" w16cid:durableId="1529560591">
    <w:abstractNumId w:val="0"/>
  </w:num>
  <w:num w:numId="7" w16cid:durableId="1091506687">
    <w:abstractNumId w:val="9"/>
  </w:num>
  <w:num w:numId="8" w16cid:durableId="724914179">
    <w:abstractNumId w:val="7"/>
  </w:num>
  <w:num w:numId="9" w16cid:durableId="1995184664">
    <w:abstractNumId w:val="6"/>
  </w:num>
  <w:num w:numId="10" w16cid:durableId="2075465359">
    <w:abstractNumId w:val="5"/>
  </w:num>
  <w:num w:numId="11" w16cid:durableId="1147822616">
    <w:abstractNumId w:val="4"/>
  </w:num>
  <w:num w:numId="12" w16cid:durableId="537157643">
    <w:abstractNumId w:val="19"/>
  </w:num>
  <w:num w:numId="13" w16cid:durableId="722095684">
    <w:abstractNumId w:val="13"/>
  </w:num>
  <w:num w:numId="14" w16cid:durableId="1944454777">
    <w:abstractNumId w:val="20"/>
  </w:num>
  <w:num w:numId="15" w16cid:durableId="235629065">
    <w:abstractNumId w:val="22"/>
  </w:num>
  <w:num w:numId="16" w16cid:durableId="321199086">
    <w:abstractNumId w:val="21"/>
  </w:num>
  <w:num w:numId="17" w16cid:durableId="1778940728">
    <w:abstractNumId w:val="12"/>
  </w:num>
  <w:num w:numId="18" w16cid:durableId="300312195">
    <w:abstractNumId w:val="13"/>
    <w:lvlOverride w:ilvl="0">
      <w:startOverride w:val="1"/>
    </w:lvlOverride>
  </w:num>
  <w:num w:numId="19" w16cid:durableId="1956056818">
    <w:abstractNumId w:val="18"/>
  </w:num>
  <w:num w:numId="20" w16cid:durableId="1944653571">
    <w:abstractNumId w:val="17"/>
  </w:num>
  <w:num w:numId="21" w16cid:durableId="1783378867">
    <w:abstractNumId w:val="16"/>
  </w:num>
  <w:num w:numId="22" w16cid:durableId="1950889360">
    <w:abstractNumId w:val="15"/>
  </w:num>
  <w:num w:numId="23" w16cid:durableId="534538940">
    <w:abstractNumId w:val="14"/>
  </w:num>
  <w:num w:numId="24" w16cid:durableId="1880631074">
    <w:abstractNumId w:val="10"/>
  </w:num>
  <w:num w:numId="25" w16cid:durableId="125451223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30C"/>
    <w:rsid w:val="0001160E"/>
    <w:rsid w:val="000117CB"/>
    <w:rsid w:val="00015C0C"/>
    <w:rsid w:val="00021091"/>
    <w:rsid w:val="0002153F"/>
    <w:rsid w:val="0002794D"/>
    <w:rsid w:val="000279CF"/>
    <w:rsid w:val="00030DC0"/>
    <w:rsid w:val="00030FAE"/>
    <w:rsid w:val="0003148D"/>
    <w:rsid w:val="00031EEC"/>
    <w:rsid w:val="00037A80"/>
    <w:rsid w:val="0004409B"/>
    <w:rsid w:val="00051566"/>
    <w:rsid w:val="0005221F"/>
    <w:rsid w:val="000562A9"/>
    <w:rsid w:val="00062A9A"/>
    <w:rsid w:val="000647AC"/>
    <w:rsid w:val="00065058"/>
    <w:rsid w:val="0006630A"/>
    <w:rsid w:val="000705D9"/>
    <w:rsid w:val="000764B8"/>
    <w:rsid w:val="0008065B"/>
    <w:rsid w:val="00086C39"/>
    <w:rsid w:val="000A03B2"/>
    <w:rsid w:val="000A6298"/>
    <w:rsid w:val="000B558F"/>
    <w:rsid w:val="000B77FA"/>
    <w:rsid w:val="000C0217"/>
    <w:rsid w:val="000C4E8D"/>
    <w:rsid w:val="000D0268"/>
    <w:rsid w:val="000D347C"/>
    <w:rsid w:val="000D34BE"/>
    <w:rsid w:val="000D55BF"/>
    <w:rsid w:val="000E102F"/>
    <w:rsid w:val="000E36F1"/>
    <w:rsid w:val="000E392E"/>
    <w:rsid w:val="000E3A73"/>
    <w:rsid w:val="000E414A"/>
    <w:rsid w:val="000F093C"/>
    <w:rsid w:val="000F1D72"/>
    <w:rsid w:val="000F787B"/>
    <w:rsid w:val="00110DC2"/>
    <w:rsid w:val="00111C5C"/>
    <w:rsid w:val="0012091F"/>
    <w:rsid w:val="0012438B"/>
    <w:rsid w:val="00126BC2"/>
    <w:rsid w:val="001272CE"/>
    <w:rsid w:val="001308B6"/>
    <w:rsid w:val="0013121F"/>
    <w:rsid w:val="00131FE6"/>
    <w:rsid w:val="0013263F"/>
    <w:rsid w:val="001331DF"/>
    <w:rsid w:val="00134DE4"/>
    <w:rsid w:val="001373E7"/>
    <w:rsid w:val="0014034D"/>
    <w:rsid w:val="00144493"/>
    <w:rsid w:val="00144D16"/>
    <w:rsid w:val="00150E59"/>
    <w:rsid w:val="00152DE3"/>
    <w:rsid w:val="001603E4"/>
    <w:rsid w:val="00164CF9"/>
    <w:rsid w:val="001667A6"/>
    <w:rsid w:val="00181D88"/>
    <w:rsid w:val="00182109"/>
    <w:rsid w:val="001834A8"/>
    <w:rsid w:val="00184AD6"/>
    <w:rsid w:val="00184F5C"/>
    <w:rsid w:val="001A01B8"/>
    <w:rsid w:val="001A3A73"/>
    <w:rsid w:val="001A4AF7"/>
    <w:rsid w:val="001A7A4A"/>
    <w:rsid w:val="001B0349"/>
    <w:rsid w:val="001B1CBA"/>
    <w:rsid w:val="001B1E93"/>
    <w:rsid w:val="001B65C1"/>
    <w:rsid w:val="001C684B"/>
    <w:rsid w:val="001C7674"/>
    <w:rsid w:val="001D0CFB"/>
    <w:rsid w:val="001D21AF"/>
    <w:rsid w:val="001D53FC"/>
    <w:rsid w:val="001D6C18"/>
    <w:rsid w:val="001E7ECF"/>
    <w:rsid w:val="001F42A5"/>
    <w:rsid w:val="001F7B9D"/>
    <w:rsid w:val="00201C93"/>
    <w:rsid w:val="00220F23"/>
    <w:rsid w:val="002224B4"/>
    <w:rsid w:val="002447EF"/>
    <w:rsid w:val="00246886"/>
    <w:rsid w:val="00251550"/>
    <w:rsid w:val="0026240F"/>
    <w:rsid w:val="00263B05"/>
    <w:rsid w:val="00267414"/>
    <w:rsid w:val="0027221A"/>
    <w:rsid w:val="00275B61"/>
    <w:rsid w:val="00280FAF"/>
    <w:rsid w:val="00282656"/>
    <w:rsid w:val="00283E68"/>
    <w:rsid w:val="002940DD"/>
    <w:rsid w:val="00295F64"/>
    <w:rsid w:val="00296B83"/>
    <w:rsid w:val="002A78DA"/>
    <w:rsid w:val="002B4015"/>
    <w:rsid w:val="002B78CE"/>
    <w:rsid w:val="002C2FB6"/>
    <w:rsid w:val="002C6C5D"/>
    <w:rsid w:val="002C7552"/>
    <w:rsid w:val="002E5FA7"/>
    <w:rsid w:val="002F091A"/>
    <w:rsid w:val="002F3309"/>
    <w:rsid w:val="002F7965"/>
    <w:rsid w:val="003008CE"/>
    <w:rsid w:val="003009B7"/>
    <w:rsid w:val="00300E56"/>
    <w:rsid w:val="0030152C"/>
    <w:rsid w:val="0030469C"/>
    <w:rsid w:val="00313533"/>
    <w:rsid w:val="003210DA"/>
    <w:rsid w:val="00321CA6"/>
    <w:rsid w:val="00322DC0"/>
    <w:rsid w:val="00323763"/>
    <w:rsid w:val="00323C5F"/>
    <w:rsid w:val="00330C67"/>
    <w:rsid w:val="0033189C"/>
    <w:rsid w:val="00334C09"/>
    <w:rsid w:val="00336C68"/>
    <w:rsid w:val="0034661C"/>
    <w:rsid w:val="00347076"/>
    <w:rsid w:val="003723D4"/>
    <w:rsid w:val="00381905"/>
    <w:rsid w:val="00384CC8"/>
    <w:rsid w:val="003871FD"/>
    <w:rsid w:val="003958EA"/>
    <w:rsid w:val="003A1E30"/>
    <w:rsid w:val="003A2829"/>
    <w:rsid w:val="003A7D1C"/>
    <w:rsid w:val="003B304B"/>
    <w:rsid w:val="003B30EF"/>
    <w:rsid w:val="003B3146"/>
    <w:rsid w:val="003C1B46"/>
    <w:rsid w:val="003C3224"/>
    <w:rsid w:val="003D0E94"/>
    <w:rsid w:val="003D0FE8"/>
    <w:rsid w:val="003E1E08"/>
    <w:rsid w:val="003F015E"/>
    <w:rsid w:val="003F5A77"/>
    <w:rsid w:val="003F6A99"/>
    <w:rsid w:val="003F725F"/>
    <w:rsid w:val="00400414"/>
    <w:rsid w:val="0041446B"/>
    <w:rsid w:val="00422BC8"/>
    <w:rsid w:val="00435092"/>
    <w:rsid w:val="0044071E"/>
    <w:rsid w:val="00441E5F"/>
    <w:rsid w:val="0044329C"/>
    <w:rsid w:val="00453E24"/>
    <w:rsid w:val="00454283"/>
    <w:rsid w:val="00457456"/>
    <w:rsid w:val="004577FE"/>
    <w:rsid w:val="00457B9C"/>
    <w:rsid w:val="00457C51"/>
    <w:rsid w:val="0046164A"/>
    <w:rsid w:val="004628D2"/>
    <w:rsid w:val="00462DCD"/>
    <w:rsid w:val="004648AD"/>
    <w:rsid w:val="004703A9"/>
    <w:rsid w:val="004760DE"/>
    <w:rsid w:val="004763D7"/>
    <w:rsid w:val="00497316"/>
    <w:rsid w:val="00497FF2"/>
    <w:rsid w:val="004A004E"/>
    <w:rsid w:val="004A105C"/>
    <w:rsid w:val="004A24CF"/>
    <w:rsid w:val="004B010A"/>
    <w:rsid w:val="004B2F7E"/>
    <w:rsid w:val="004C1D4E"/>
    <w:rsid w:val="004C3D1D"/>
    <w:rsid w:val="004C3D84"/>
    <w:rsid w:val="004C553F"/>
    <w:rsid w:val="004C5972"/>
    <w:rsid w:val="004C7913"/>
    <w:rsid w:val="004E1B7D"/>
    <w:rsid w:val="004E4DD6"/>
    <w:rsid w:val="004F5E36"/>
    <w:rsid w:val="0050088D"/>
    <w:rsid w:val="00507B47"/>
    <w:rsid w:val="00507BEF"/>
    <w:rsid w:val="00507CC9"/>
    <w:rsid w:val="005119A5"/>
    <w:rsid w:val="00525C8E"/>
    <w:rsid w:val="005278B7"/>
    <w:rsid w:val="00532016"/>
    <w:rsid w:val="00533E52"/>
    <w:rsid w:val="005346C8"/>
    <w:rsid w:val="005404A2"/>
    <w:rsid w:val="00543E7D"/>
    <w:rsid w:val="00547A68"/>
    <w:rsid w:val="00551C11"/>
    <w:rsid w:val="005531C9"/>
    <w:rsid w:val="00557F79"/>
    <w:rsid w:val="00570C43"/>
    <w:rsid w:val="005723E7"/>
    <w:rsid w:val="005728D0"/>
    <w:rsid w:val="005879C7"/>
    <w:rsid w:val="005B2110"/>
    <w:rsid w:val="005B61E6"/>
    <w:rsid w:val="005B7B5E"/>
    <w:rsid w:val="005C7795"/>
    <w:rsid w:val="005C77E1"/>
    <w:rsid w:val="005D668A"/>
    <w:rsid w:val="005D6A2F"/>
    <w:rsid w:val="005E1A82"/>
    <w:rsid w:val="005E794C"/>
    <w:rsid w:val="005F0A28"/>
    <w:rsid w:val="005F0E5E"/>
    <w:rsid w:val="00600535"/>
    <w:rsid w:val="00610CD6"/>
    <w:rsid w:val="00620DEE"/>
    <w:rsid w:val="00621F92"/>
    <w:rsid w:val="0062280A"/>
    <w:rsid w:val="00623E2E"/>
    <w:rsid w:val="00625639"/>
    <w:rsid w:val="00631B33"/>
    <w:rsid w:val="006341ED"/>
    <w:rsid w:val="0064184D"/>
    <w:rsid w:val="006422CC"/>
    <w:rsid w:val="00645229"/>
    <w:rsid w:val="006473C8"/>
    <w:rsid w:val="00660E3E"/>
    <w:rsid w:val="00662E74"/>
    <w:rsid w:val="00670F7C"/>
    <w:rsid w:val="00680C23"/>
    <w:rsid w:val="00693766"/>
    <w:rsid w:val="006A3281"/>
    <w:rsid w:val="006A60F0"/>
    <w:rsid w:val="006B4888"/>
    <w:rsid w:val="006B5BA6"/>
    <w:rsid w:val="006C2E45"/>
    <w:rsid w:val="006C359C"/>
    <w:rsid w:val="006C359F"/>
    <w:rsid w:val="006C3B3E"/>
    <w:rsid w:val="006C5579"/>
    <w:rsid w:val="006D1C06"/>
    <w:rsid w:val="006D6E8B"/>
    <w:rsid w:val="006E737D"/>
    <w:rsid w:val="00713973"/>
    <w:rsid w:val="00720A24"/>
    <w:rsid w:val="00731667"/>
    <w:rsid w:val="00732386"/>
    <w:rsid w:val="0073514D"/>
    <w:rsid w:val="007447F3"/>
    <w:rsid w:val="00745B57"/>
    <w:rsid w:val="0075499F"/>
    <w:rsid w:val="00760B85"/>
    <w:rsid w:val="007661C8"/>
    <w:rsid w:val="0077098D"/>
    <w:rsid w:val="00771F8A"/>
    <w:rsid w:val="007745A7"/>
    <w:rsid w:val="007837F6"/>
    <w:rsid w:val="00784253"/>
    <w:rsid w:val="0078486B"/>
    <w:rsid w:val="007905E4"/>
    <w:rsid w:val="007931FA"/>
    <w:rsid w:val="00793B19"/>
    <w:rsid w:val="007A106C"/>
    <w:rsid w:val="007A4861"/>
    <w:rsid w:val="007A6A82"/>
    <w:rsid w:val="007A7BBA"/>
    <w:rsid w:val="007B0C50"/>
    <w:rsid w:val="007B2E9C"/>
    <w:rsid w:val="007B48F9"/>
    <w:rsid w:val="007C0CDB"/>
    <w:rsid w:val="007C1A43"/>
    <w:rsid w:val="007D0951"/>
    <w:rsid w:val="007F420A"/>
    <w:rsid w:val="0080013E"/>
    <w:rsid w:val="00810A4A"/>
    <w:rsid w:val="00813288"/>
    <w:rsid w:val="00813C91"/>
    <w:rsid w:val="0081487F"/>
    <w:rsid w:val="008157B0"/>
    <w:rsid w:val="008168FC"/>
    <w:rsid w:val="00830996"/>
    <w:rsid w:val="008345F1"/>
    <w:rsid w:val="00837A95"/>
    <w:rsid w:val="00865B07"/>
    <w:rsid w:val="008667EA"/>
    <w:rsid w:val="00870D45"/>
    <w:rsid w:val="0087637F"/>
    <w:rsid w:val="00890C5E"/>
    <w:rsid w:val="00892AD5"/>
    <w:rsid w:val="008A1512"/>
    <w:rsid w:val="008D16D4"/>
    <w:rsid w:val="008D32B9"/>
    <w:rsid w:val="008D433B"/>
    <w:rsid w:val="008D4A16"/>
    <w:rsid w:val="008D5EC2"/>
    <w:rsid w:val="008D766A"/>
    <w:rsid w:val="008E0ED9"/>
    <w:rsid w:val="008E16D3"/>
    <w:rsid w:val="008E2969"/>
    <w:rsid w:val="008E566E"/>
    <w:rsid w:val="008F5204"/>
    <w:rsid w:val="0090142A"/>
    <w:rsid w:val="0090161A"/>
    <w:rsid w:val="00901EB6"/>
    <w:rsid w:val="00904C62"/>
    <w:rsid w:val="00904CF8"/>
    <w:rsid w:val="00922BA8"/>
    <w:rsid w:val="00924DAC"/>
    <w:rsid w:val="00927058"/>
    <w:rsid w:val="0092737E"/>
    <w:rsid w:val="00932248"/>
    <w:rsid w:val="00942750"/>
    <w:rsid w:val="009450CE"/>
    <w:rsid w:val="009452D0"/>
    <w:rsid w:val="009459BB"/>
    <w:rsid w:val="00947179"/>
    <w:rsid w:val="0095164B"/>
    <w:rsid w:val="00954090"/>
    <w:rsid w:val="00955E8A"/>
    <w:rsid w:val="009573E7"/>
    <w:rsid w:val="009635C4"/>
    <w:rsid w:val="00963E05"/>
    <w:rsid w:val="00964A45"/>
    <w:rsid w:val="00967843"/>
    <w:rsid w:val="00967D54"/>
    <w:rsid w:val="00971028"/>
    <w:rsid w:val="00991FCE"/>
    <w:rsid w:val="00993B84"/>
    <w:rsid w:val="00996483"/>
    <w:rsid w:val="00996F5A"/>
    <w:rsid w:val="009B041A"/>
    <w:rsid w:val="009C1494"/>
    <w:rsid w:val="009C37C3"/>
    <w:rsid w:val="009C7C86"/>
    <w:rsid w:val="009D2FF7"/>
    <w:rsid w:val="009D4BF0"/>
    <w:rsid w:val="009E7884"/>
    <w:rsid w:val="009E788A"/>
    <w:rsid w:val="009F0E08"/>
    <w:rsid w:val="009F4332"/>
    <w:rsid w:val="00A00270"/>
    <w:rsid w:val="00A03042"/>
    <w:rsid w:val="00A03B0E"/>
    <w:rsid w:val="00A13C64"/>
    <w:rsid w:val="00A1763D"/>
    <w:rsid w:val="00A17CEC"/>
    <w:rsid w:val="00A27EF0"/>
    <w:rsid w:val="00A42361"/>
    <w:rsid w:val="00A47072"/>
    <w:rsid w:val="00A5091A"/>
    <w:rsid w:val="00A50B20"/>
    <w:rsid w:val="00A51390"/>
    <w:rsid w:val="00A5352A"/>
    <w:rsid w:val="00A60D13"/>
    <w:rsid w:val="00A7223D"/>
    <w:rsid w:val="00A72745"/>
    <w:rsid w:val="00A76EFC"/>
    <w:rsid w:val="00A87D50"/>
    <w:rsid w:val="00A91010"/>
    <w:rsid w:val="00A91FCF"/>
    <w:rsid w:val="00A93083"/>
    <w:rsid w:val="00A97F29"/>
    <w:rsid w:val="00AA702E"/>
    <w:rsid w:val="00AA7D26"/>
    <w:rsid w:val="00AB0964"/>
    <w:rsid w:val="00AB39EE"/>
    <w:rsid w:val="00AB5011"/>
    <w:rsid w:val="00AC7368"/>
    <w:rsid w:val="00AD16B9"/>
    <w:rsid w:val="00AE2CB5"/>
    <w:rsid w:val="00AE377D"/>
    <w:rsid w:val="00AF0EBA"/>
    <w:rsid w:val="00B01918"/>
    <w:rsid w:val="00B02C8A"/>
    <w:rsid w:val="00B17FBD"/>
    <w:rsid w:val="00B315A6"/>
    <w:rsid w:val="00B31813"/>
    <w:rsid w:val="00B33365"/>
    <w:rsid w:val="00B559C5"/>
    <w:rsid w:val="00B57B36"/>
    <w:rsid w:val="00B57E6F"/>
    <w:rsid w:val="00B76CDC"/>
    <w:rsid w:val="00B8686D"/>
    <w:rsid w:val="00B877CB"/>
    <w:rsid w:val="00B93F69"/>
    <w:rsid w:val="00BB1DDC"/>
    <w:rsid w:val="00BC30C9"/>
    <w:rsid w:val="00BC3DA9"/>
    <w:rsid w:val="00BD077D"/>
    <w:rsid w:val="00BE3E58"/>
    <w:rsid w:val="00BE49B5"/>
    <w:rsid w:val="00BE5072"/>
    <w:rsid w:val="00BE5EF8"/>
    <w:rsid w:val="00BF64F2"/>
    <w:rsid w:val="00C01616"/>
    <w:rsid w:val="00C0162B"/>
    <w:rsid w:val="00C02A2D"/>
    <w:rsid w:val="00C066CF"/>
    <w:rsid w:val="00C068ED"/>
    <w:rsid w:val="00C22E0C"/>
    <w:rsid w:val="00C23E34"/>
    <w:rsid w:val="00C31216"/>
    <w:rsid w:val="00C345B1"/>
    <w:rsid w:val="00C3711F"/>
    <w:rsid w:val="00C40142"/>
    <w:rsid w:val="00C5263B"/>
    <w:rsid w:val="00C52C3C"/>
    <w:rsid w:val="00C57182"/>
    <w:rsid w:val="00C57863"/>
    <w:rsid w:val="00C61D5D"/>
    <w:rsid w:val="00C640AF"/>
    <w:rsid w:val="00C655FD"/>
    <w:rsid w:val="00C72411"/>
    <w:rsid w:val="00C75407"/>
    <w:rsid w:val="00C85D04"/>
    <w:rsid w:val="00C870A8"/>
    <w:rsid w:val="00C94434"/>
    <w:rsid w:val="00C96FEF"/>
    <w:rsid w:val="00CA0D75"/>
    <w:rsid w:val="00CA1C95"/>
    <w:rsid w:val="00CA5A9C"/>
    <w:rsid w:val="00CC4C20"/>
    <w:rsid w:val="00CD3517"/>
    <w:rsid w:val="00CD5771"/>
    <w:rsid w:val="00CD5FE2"/>
    <w:rsid w:val="00CE7C68"/>
    <w:rsid w:val="00CF5122"/>
    <w:rsid w:val="00D00D89"/>
    <w:rsid w:val="00D02B4C"/>
    <w:rsid w:val="00D040C4"/>
    <w:rsid w:val="00D12F16"/>
    <w:rsid w:val="00D20953"/>
    <w:rsid w:val="00D20AD1"/>
    <w:rsid w:val="00D35F62"/>
    <w:rsid w:val="00D37B3B"/>
    <w:rsid w:val="00D46B7E"/>
    <w:rsid w:val="00D5546A"/>
    <w:rsid w:val="00D55C7E"/>
    <w:rsid w:val="00D57C84"/>
    <w:rsid w:val="00D6057D"/>
    <w:rsid w:val="00D71640"/>
    <w:rsid w:val="00D836C5"/>
    <w:rsid w:val="00D84576"/>
    <w:rsid w:val="00D920D2"/>
    <w:rsid w:val="00DA1399"/>
    <w:rsid w:val="00DA24C6"/>
    <w:rsid w:val="00DA4C1E"/>
    <w:rsid w:val="00DA4D7B"/>
    <w:rsid w:val="00DB2E46"/>
    <w:rsid w:val="00DB3EF8"/>
    <w:rsid w:val="00DB683A"/>
    <w:rsid w:val="00DD271C"/>
    <w:rsid w:val="00DE264A"/>
    <w:rsid w:val="00DF5072"/>
    <w:rsid w:val="00E02D18"/>
    <w:rsid w:val="00E041E7"/>
    <w:rsid w:val="00E14494"/>
    <w:rsid w:val="00E23CA1"/>
    <w:rsid w:val="00E409A8"/>
    <w:rsid w:val="00E40B6A"/>
    <w:rsid w:val="00E46DDF"/>
    <w:rsid w:val="00E46F6D"/>
    <w:rsid w:val="00E50C12"/>
    <w:rsid w:val="00E527B7"/>
    <w:rsid w:val="00E55E83"/>
    <w:rsid w:val="00E65B91"/>
    <w:rsid w:val="00E7209D"/>
    <w:rsid w:val="00E72EAD"/>
    <w:rsid w:val="00E77223"/>
    <w:rsid w:val="00E834AB"/>
    <w:rsid w:val="00E84C9D"/>
    <w:rsid w:val="00E8528B"/>
    <w:rsid w:val="00E85B94"/>
    <w:rsid w:val="00E8716E"/>
    <w:rsid w:val="00E93FEA"/>
    <w:rsid w:val="00E95F1C"/>
    <w:rsid w:val="00E978D0"/>
    <w:rsid w:val="00EA4613"/>
    <w:rsid w:val="00EA7F91"/>
    <w:rsid w:val="00EB1523"/>
    <w:rsid w:val="00EB4A84"/>
    <w:rsid w:val="00EB6C53"/>
    <w:rsid w:val="00EC0E49"/>
    <w:rsid w:val="00EC101F"/>
    <w:rsid w:val="00EC1D9F"/>
    <w:rsid w:val="00ED5B34"/>
    <w:rsid w:val="00EE0131"/>
    <w:rsid w:val="00EE17B0"/>
    <w:rsid w:val="00EE22EC"/>
    <w:rsid w:val="00EF06D9"/>
    <w:rsid w:val="00F3049E"/>
    <w:rsid w:val="00F30C64"/>
    <w:rsid w:val="00F3289F"/>
    <w:rsid w:val="00F32BA2"/>
    <w:rsid w:val="00F32CDB"/>
    <w:rsid w:val="00F42AED"/>
    <w:rsid w:val="00F4413D"/>
    <w:rsid w:val="00F565FE"/>
    <w:rsid w:val="00F60CB9"/>
    <w:rsid w:val="00F63A70"/>
    <w:rsid w:val="00F63D8C"/>
    <w:rsid w:val="00F649FF"/>
    <w:rsid w:val="00F7534E"/>
    <w:rsid w:val="00F83F29"/>
    <w:rsid w:val="00F92BDD"/>
    <w:rsid w:val="00F93EDF"/>
    <w:rsid w:val="00FA1802"/>
    <w:rsid w:val="00FA21D0"/>
    <w:rsid w:val="00FA5F5F"/>
    <w:rsid w:val="00FB02D9"/>
    <w:rsid w:val="00FB730C"/>
    <w:rsid w:val="00FC2695"/>
    <w:rsid w:val="00FC3E03"/>
    <w:rsid w:val="00FC3FC1"/>
    <w:rsid w:val="00FE1453"/>
    <w:rsid w:val="00FF2DAA"/>
    <w:rsid w:val="00FF7140"/>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DB683A"/>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DB683A"/>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styleId="Testosegnaposto">
    <w:name w:val="Placeholder Text"/>
    <w:basedOn w:val="Carpredefinitoparagrafo"/>
    <w:uiPriority w:val="99"/>
    <w:semiHidden/>
    <w:rsid w:val="006D1C06"/>
    <w:rPr>
      <w:color w:val="808080"/>
    </w:rPr>
  </w:style>
  <w:style w:type="paragraph" w:styleId="Revisione">
    <w:name w:val="Revision"/>
    <w:hidden/>
    <w:uiPriority w:val="99"/>
    <w:semiHidden/>
    <w:rsid w:val="00E834AB"/>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11377">
      <w:bodyDiv w:val="1"/>
      <w:marLeft w:val="0"/>
      <w:marRight w:val="0"/>
      <w:marTop w:val="0"/>
      <w:marBottom w:val="0"/>
      <w:divBdr>
        <w:top w:val="none" w:sz="0" w:space="0" w:color="auto"/>
        <w:left w:val="none" w:sz="0" w:space="0" w:color="auto"/>
        <w:bottom w:val="none" w:sz="0" w:space="0" w:color="auto"/>
        <w:right w:val="none" w:sz="0" w:space="0" w:color="auto"/>
      </w:divBdr>
      <w:divsChild>
        <w:div w:id="1797018906">
          <w:marLeft w:val="480"/>
          <w:marRight w:val="0"/>
          <w:marTop w:val="0"/>
          <w:marBottom w:val="0"/>
          <w:divBdr>
            <w:top w:val="none" w:sz="0" w:space="0" w:color="auto"/>
            <w:left w:val="none" w:sz="0" w:space="0" w:color="auto"/>
            <w:bottom w:val="none" w:sz="0" w:space="0" w:color="auto"/>
            <w:right w:val="none" w:sz="0" w:space="0" w:color="auto"/>
          </w:divBdr>
        </w:div>
        <w:div w:id="1666132868">
          <w:marLeft w:val="480"/>
          <w:marRight w:val="0"/>
          <w:marTop w:val="0"/>
          <w:marBottom w:val="0"/>
          <w:divBdr>
            <w:top w:val="none" w:sz="0" w:space="0" w:color="auto"/>
            <w:left w:val="none" w:sz="0" w:space="0" w:color="auto"/>
            <w:bottom w:val="none" w:sz="0" w:space="0" w:color="auto"/>
            <w:right w:val="none" w:sz="0" w:space="0" w:color="auto"/>
          </w:divBdr>
        </w:div>
      </w:divsChild>
    </w:div>
    <w:div w:id="42214735">
      <w:bodyDiv w:val="1"/>
      <w:marLeft w:val="0"/>
      <w:marRight w:val="0"/>
      <w:marTop w:val="0"/>
      <w:marBottom w:val="0"/>
      <w:divBdr>
        <w:top w:val="none" w:sz="0" w:space="0" w:color="auto"/>
        <w:left w:val="none" w:sz="0" w:space="0" w:color="auto"/>
        <w:bottom w:val="none" w:sz="0" w:space="0" w:color="auto"/>
        <w:right w:val="none" w:sz="0" w:space="0" w:color="auto"/>
      </w:divBdr>
    </w:div>
    <w:div w:id="119111116">
      <w:bodyDiv w:val="1"/>
      <w:marLeft w:val="0"/>
      <w:marRight w:val="0"/>
      <w:marTop w:val="0"/>
      <w:marBottom w:val="0"/>
      <w:divBdr>
        <w:top w:val="none" w:sz="0" w:space="0" w:color="auto"/>
        <w:left w:val="none" w:sz="0" w:space="0" w:color="auto"/>
        <w:bottom w:val="none" w:sz="0" w:space="0" w:color="auto"/>
        <w:right w:val="none" w:sz="0" w:space="0" w:color="auto"/>
      </w:divBdr>
      <w:divsChild>
        <w:div w:id="792749702">
          <w:marLeft w:val="480"/>
          <w:marRight w:val="0"/>
          <w:marTop w:val="0"/>
          <w:marBottom w:val="0"/>
          <w:divBdr>
            <w:top w:val="none" w:sz="0" w:space="0" w:color="auto"/>
            <w:left w:val="none" w:sz="0" w:space="0" w:color="auto"/>
            <w:bottom w:val="none" w:sz="0" w:space="0" w:color="auto"/>
            <w:right w:val="none" w:sz="0" w:space="0" w:color="auto"/>
          </w:divBdr>
        </w:div>
        <w:div w:id="1193227652">
          <w:marLeft w:val="480"/>
          <w:marRight w:val="0"/>
          <w:marTop w:val="0"/>
          <w:marBottom w:val="0"/>
          <w:divBdr>
            <w:top w:val="none" w:sz="0" w:space="0" w:color="auto"/>
            <w:left w:val="none" w:sz="0" w:space="0" w:color="auto"/>
            <w:bottom w:val="none" w:sz="0" w:space="0" w:color="auto"/>
            <w:right w:val="none" w:sz="0" w:space="0" w:color="auto"/>
          </w:divBdr>
        </w:div>
        <w:div w:id="312106768">
          <w:marLeft w:val="480"/>
          <w:marRight w:val="0"/>
          <w:marTop w:val="0"/>
          <w:marBottom w:val="0"/>
          <w:divBdr>
            <w:top w:val="none" w:sz="0" w:space="0" w:color="auto"/>
            <w:left w:val="none" w:sz="0" w:space="0" w:color="auto"/>
            <w:bottom w:val="none" w:sz="0" w:space="0" w:color="auto"/>
            <w:right w:val="none" w:sz="0" w:space="0" w:color="auto"/>
          </w:divBdr>
        </w:div>
      </w:divsChild>
    </w:div>
    <w:div w:id="127628747">
      <w:bodyDiv w:val="1"/>
      <w:marLeft w:val="0"/>
      <w:marRight w:val="0"/>
      <w:marTop w:val="0"/>
      <w:marBottom w:val="0"/>
      <w:divBdr>
        <w:top w:val="none" w:sz="0" w:space="0" w:color="auto"/>
        <w:left w:val="none" w:sz="0" w:space="0" w:color="auto"/>
        <w:bottom w:val="none" w:sz="0" w:space="0" w:color="auto"/>
        <w:right w:val="none" w:sz="0" w:space="0" w:color="auto"/>
      </w:divBdr>
    </w:div>
    <w:div w:id="141235920">
      <w:bodyDiv w:val="1"/>
      <w:marLeft w:val="0"/>
      <w:marRight w:val="0"/>
      <w:marTop w:val="0"/>
      <w:marBottom w:val="0"/>
      <w:divBdr>
        <w:top w:val="none" w:sz="0" w:space="0" w:color="auto"/>
        <w:left w:val="none" w:sz="0" w:space="0" w:color="auto"/>
        <w:bottom w:val="none" w:sz="0" w:space="0" w:color="auto"/>
        <w:right w:val="none" w:sz="0" w:space="0" w:color="auto"/>
      </w:divBdr>
      <w:divsChild>
        <w:div w:id="1847012615">
          <w:marLeft w:val="480"/>
          <w:marRight w:val="0"/>
          <w:marTop w:val="0"/>
          <w:marBottom w:val="0"/>
          <w:divBdr>
            <w:top w:val="none" w:sz="0" w:space="0" w:color="auto"/>
            <w:left w:val="none" w:sz="0" w:space="0" w:color="auto"/>
            <w:bottom w:val="none" w:sz="0" w:space="0" w:color="auto"/>
            <w:right w:val="none" w:sz="0" w:space="0" w:color="auto"/>
          </w:divBdr>
        </w:div>
        <w:div w:id="1985961852">
          <w:marLeft w:val="480"/>
          <w:marRight w:val="0"/>
          <w:marTop w:val="0"/>
          <w:marBottom w:val="0"/>
          <w:divBdr>
            <w:top w:val="none" w:sz="0" w:space="0" w:color="auto"/>
            <w:left w:val="none" w:sz="0" w:space="0" w:color="auto"/>
            <w:bottom w:val="none" w:sz="0" w:space="0" w:color="auto"/>
            <w:right w:val="none" w:sz="0" w:space="0" w:color="auto"/>
          </w:divBdr>
        </w:div>
        <w:div w:id="1279751836">
          <w:marLeft w:val="480"/>
          <w:marRight w:val="0"/>
          <w:marTop w:val="0"/>
          <w:marBottom w:val="0"/>
          <w:divBdr>
            <w:top w:val="none" w:sz="0" w:space="0" w:color="auto"/>
            <w:left w:val="none" w:sz="0" w:space="0" w:color="auto"/>
            <w:bottom w:val="none" w:sz="0" w:space="0" w:color="auto"/>
            <w:right w:val="none" w:sz="0" w:space="0" w:color="auto"/>
          </w:divBdr>
        </w:div>
        <w:div w:id="1568224211">
          <w:marLeft w:val="480"/>
          <w:marRight w:val="0"/>
          <w:marTop w:val="0"/>
          <w:marBottom w:val="0"/>
          <w:divBdr>
            <w:top w:val="none" w:sz="0" w:space="0" w:color="auto"/>
            <w:left w:val="none" w:sz="0" w:space="0" w:color="auto"/>
            <w:bottom w:val="none" w:sz="0" w:space="0" w:color="auto"/>
            <w:right w:val="none" w:sz="0" w:space="0" w:color="auto"/>
          </w:divBdr>
        </w:div>
        <w:div w:id="986596021">
          <w:marLeft w:val="480"/>
          <w:marRight w:val="0"/>
          <w:marTop w:val="0"/>
          <w:marBottom w:val="0"/>
          <w:divBdr>
            <w:top w:val="none" w:sz="0" w:space="0" w:color="auto"/>
            <w:left w:val="none" w:sz="0" w:space="0" w:color="auto"/>
            <w:bottom w:val="none" w:sz="0" w:space="0" w:color="auto"/>
            <w:right w:val="none" w:sz="0" w:space="0" w:color="auto"/>
          </w:divBdr>
        </w:div>
        <w:div w:id="740715204">
          <w:marLeft w:val="480"/>
          <w:marRight w:val="0"/>
          <w:marTop w:val="0"/>
          <w:marBottom w:val="0"/>
          <w:divBdr>
            <w:top w:val="none" w:sz="0" w:space="0" w:color="auto"/>
            <w:left w:val="none" w:sz="0" w:space="0" w:color="auto"/>
            <w:bottom w:val="none" w:sz="0" w:space="0" w:color="auto"/>
            <w:right w:val="none" w:sz="0" w:space="0" w:color="auto"/>
          </w:divBdr>
        </w:div>
        <w:div w:id="2096050213">
          <w:marLeft w:val="480"/>
          <w:marRight w:val="0"/>
          <w:marTop w:val="0"/>
          <w:marBottom w:val="0"/>
          <w:divBdr>
            <w:top w:val="none" w:sz="0" w:space="0" w:color="auto"/>
            <w:left w:val="none" w:sz="0" w:space="0" w:color="auto"/>
            <w:bottom w:val="none" w:sz="0" w:space="0" w:color="auto"/>
            <w:right w:val="none" w:sz="0" w:space="0" w:color="auto"/>
          </w:divBdr>
        </w:div>
      </w:divsChild>
    </w:div>
    <w:div w:id="158666918">
      <w:bodyDiv w:val="1"/>
      <w:marLeft w:val="0"/>
      <w:marRight w:val="0"/>
      <w:marTop w:val="0"/>
      <w:marBottom w:val="0"/>
      <w:divBdr>
        <w:top w:val="none" w:sz="0" w:space="0" w:color="auto"/>
        <w:left w:val="none" w:sz="0" w:space="0" w:color="auto"/>
        <w:bottom w:val="none" w:sz="0" w:space="0" w:color="auto"/>
        <w:right w:val="none" w:sz="0" w:space="0" w:color="auto"/>
      </w:divBdr>
      <w:divsChild>
        <w:div w:id="1659766851">
          <w:marLeft w:val="480"/>
          <w:marRight w:val="0"/>
          <w:marTop w:val="0"/>
          <w:marBottom w:val="0"/>
          <w:divBdr>
            <w:top w:val="none" w:sz="0" w:space="0" w:color="auto"/>
            <w:left w:val="none" w:sz="0" w:space="0" w:color="auto"/>
            <w:bottom w:val="none" w:sz="0" w:space="0" w:color="auto"/>
            <w:right w:val="none" w:sz="0" w:space="0" w:color="auto"/>
          </w:divBdr>
        </w:div>
        <w:div w:id="1871141113">
          <w:marLeft w:val="480"/>
          <w:marRight w:val="0"/>
          <w:marTop w:val="0"/>
          <w:marBottom w:val="0"/>
          <w:divBdr>
            <w:top w:val="none" w:sz="0" w:space="0" w:color="auto"/>
            <w:left w:val="none" w:sz="0" w:space="0" w:color="auto"/>
            <w:bottom w:val="none" w:sz="0" w:space="0" w:color="auto"/>
            <w:right w:val="none" w:sz="0" w:space="0" w:color="auto"/>
          </w:divBdr>
        </w:div>
        <w:div w:id="2115322091">
          <w:marLeft w:val="480"/>
          <w:marRight w:val="0"/>
          <w:marTop w:val="0"/>
          <w:marBottom w:val="0"/>
          <w:divBdr>
            <w:top w:val="none" w:sz="0" w:space="0" w:color="auto"/>
            <w:left w:val="none" w:sz="0" w:space="0" w:color="auto"/>
            <w:bottom w:val="none" w:sz="0" w:space="0" w:color="auto"/>
            <w:right w:val="none" w:sz="0" w:space="0" w:color="auto"/>
          </w:divBdr>
        </w:div>
        <w:div w:id="17243595">
          <w:marLeft w:val="480"/>
          <w:marRight w:val="0"/>
          <w:marTop w:val="0"/>
          <w:marBottom w:val="0"/>
          <w:divBdr>
            <w:top w:val="none" w:sz="0" w:space="0" w:color="auto"/>
            <w:left w:val="none" w:sz="0" w:space="0" w:color="auto"/>
            <w:bottom w:val="none" w:sz="0" w:space="0" w:color="auto"/>
            <w:right w:val="none" w:sz="0" w:space="0" w:color="auto"/>
          </w:divBdr>
        </w:div>
        <w:div w:id="1985348141">
          <w:marLeft w:val="480"/>
          <w:marRight w:val="0"/>
          <w:marTop w:val="0"/>
          <w:marBottom w:val="0"/>
          <w:divBdr>
            <w:top w:val="none" w:sz="0" w:space="0" w:color="auto"/>
            <w:left w:val="none" w:sz="0" w:space="0" w:color="auto"/>
            <w:bottom w:val="none" w:sz="0" w:space="0" w:color="auto"/>
            <w:right w:val="none" w:sz="0" w:space="0" w:color="auto"/>
          </w:divBdr>
        </w:div>
      </w:divsChild>
    </w:div>
    <w:div w:id="221334503">
      <w:bodyDiv w:val="1"/>
      <w:marLeft w:val="0"/>
      <w:marRight w:val="0"/>
      <w:marTop w:val="0"/>
      <w:marBottom w:val="0"/>
      <w:divBdr>
        <w:top w:val="none" w:sz="0" w:space="0" w:color="auto"/>
        <w:left w:val="none" w:sz="0" w:space="0" w:color="auto"/>
        <w:bottom w:val="none" w:sz="0" w:space="0" w:color="auto"/>
        <w:right w:val="none" w:sz="0" w:space="0" w:color="auto"/>
      </w:divBdr>
      <w:divsChild>
        <w:div w:id="1630431876">
          <w:marLeft w:val="480"/>
          <w:marRight w:val="0"/>
          <w:marTop w:val="0"/>
          <w:marBottom w:val="0"/>
          <w:divBdr>
            <w:top w:val="none" w:sz="0" w:space="0" w:color="auto"/>
            <w:left w:val="none" w:sz="0" w:space="0" w:color="auto"/>
            <w:bottom w:val="none" w:sz="0" w:space="0" w:color="auto"/>
            <w:right w:val="none" w:sz="0" w:space="0" w:color="auto"/>
          </w:divBdr>
        </w:div>
        <w:div w:id="1666395290">
          <w:marLeft w:val="480"/>
          <w:marRight w:val="0"/>
          <w:marTop w:val="0"/>
          <w:marBottom w:val="0"/>
          <w:divBdr>
            <w:top w:val="none" w:sz="0" w:space="0" w:color="auto"/>
            <w:left w:val="none" w:sz="0" w:space="0" w:color="auto"/>
            <w:bottom w:val="none" w:sz="0" w:space="0" w:color="auto"/>
            <w:right w:val="none" w:sz="0" w:space="0" w:color="auto"/>
          </w:divBdr>
        </w:div>
        <w:div w:id="404954028">
          <w:marLeft w:val="480"/>
          <w:marRight w:val="0"/>
          <w:marTop w:val="0"/>
          <w:marBottom w:val="0"/>
          <w:divBdr>
            <w:top w:val="none" w:sz="0" w:space="0" w:color="auto"/>
            <w:left w:val="none" w:sz="0" w:space="0" w:color="auto"/>
            <w:bottom w:val="none" w:sz="0" w:space="0" w:color="auto"/>
            <w:right w:val="none" w:sz="0" w:space="0" w:color="auto"/>
          </w:divBdr>
        </w:div>
        <w:div w:id="587465320">
          <w:marLeft w:val="480"/>
          <w:marRight w:val="0"/>
          <w:marTop w:val="0"/>
          <w:marBottom w:val="0"/>
          <w:divBdr>
            <w:top w:val="none" w:sz="0" w:space="0" w:color="auto"/>
            <w:left w:val="none" w:sz="0" w:space="0" w:color="auto"/>
            <w:bottom w:val="none" w:sz="0" w:space="0" w:color="auto"/>
            <w:right w:val="none" w:sz="0" w:space="0" w:color="auto"/>
          </w:divBdr>
        </w:div>
        <w:div w:id="1391540568">
          <w:marLeft w:val="480"/>
          <w:marRight w:val="0"/>
          <w:marTop w:val="0"/>
          <w:marBottom w:val="0"/>
          <w:divBdr>
            <w:top w:val="none" w:sz="0" w:space="0" w:color="auto"/>
            <w:left w:val="none" w:sz="0" w:space="0" w:color="auto"/>
            <w:bottom w:val="none" w:sz="0" w:space="0" w:color="auto"/>
            <w:right w:val="none" w:sz="0" w:space="0" w:color="auto"/>
          </w:divBdr>
        </w:div>
        <w:div w:id="136992624">
          <w:marLeft w:val="480"/>
          <w:marRight w:val="0"/>
          <w:marTop w:val="0"/>
          <w:marBottom w:val="0"/>
          <w:divBdr>
            <w:top w:val="none" w:sz="0" w:space="0" w:color="auto"/>
            <w:left w:val="none" w:sz="0" w:space="0" w:color="auto"/>
            <w:bottom w:val="none" w:sz="0" w:space="0" w:color="auto"/>
            <w:right w:val="none" w:sz="0" w:space="0" w:color="auto"/>
          </w:divBdr>
        </w:div>
        <w:div w:id="1966616812">
          <w:marLeft w:val="480"/>
          <w:marRight w:val="0"/>
          <w:marTop w:val="0"/>
          <w:marBottom w:val="0"/>
          <w:divBdr>
            <w:top w:val="none" w:sz="0" w:space="0" w:color="auto"/>
            <w:left w:val="none" w:sz="0" w:space="0" w:color="auto"/>
            <w:bottom w:val="none" w:sz="0" w:space="0" w:color="auto"/>
            <w:right w:val="none" w:sz="0" w:space="0" w:color="auto"/>
          </w:divBdr>
        </w:div>
        <w:div w:id="1552182220">
          <w:marLeft w:val="480"/>
          <w:marRight w:val="0"/>
          <w:marTop w:val="0"/>
          <w:marBottom w:val="0"/>
          <w:divBdr>
            <w:top w:val="none" w:sz="0" w:space="0" w:color="auto"/>
            <w:left w:val="none" w:sz="0" w:space="0" w:color="auto"/>
            <w:bottom w:val="none" w:sz="0" w:space="0" w:color="auto"/>
            <w:right w:val="none" w:sz="0" w:space="0" w:color="auto"/>
          </w:divBdr>
        </w:div>
        <w:div w:id="312570134">
          <w:marLeft w:val="480"/>
          <w:marRight w:val="0"/>
          <w:marTop w:val="0"/>
          <w:marBottom w:val="0"/>
          <w:divBdr>
            <w:top w:val="none" w:sz="0" w:space="0" w:color="auto"/>
            <w:left w:val="none" w:sz="0" w:space="0" w:color="auto"/>
            <w:bottom w:val="none" w:sz="0" w:space="0" w:color="auto"/>
            <w:right w:val="none" w:sz="0" w:space="0" w:color="auto"/>
          </w:divBdr>
        </w:div>
      </w:divsChild>
    </w:div>
    <w:div w:id="243150741">
      <w:bodyDiv w:val="1"/>
      <w:marLeft w:val="0"/>
      <w:marRight w:val="0"/>
      <w:marTop w:val="0"/>
      <w:marBottom w:val="0"/>
      <w:divBdr>
        <w:top w:val="none" w:sz="0" w:space="0" w:color="auto"/>
        <w:left w:val="none" w:sz="0" w:space="0" w:color="auto"/>
        <w:bottom w:val="none" w:sz="0" w:space="0" w:color="auto"/>
        <w:right w:val="none" w:sz="0" w:space="0" w:color="auto"/>
      </w:divBdr>
      <w:divsChild>
        <w:div w:id="924386602">
          <w:marLeft w:val="480"/>
          <w:marRight w:val="0"/>
          <w:marTop w:val="0"/>
          <w:marBottom w:val="0"/>
          <w:divBdr>
            <w:top w:val="none" w:sz="0" w:space="0" w:color="auto"/>
            <w:left w:val="none" w:sz="0" w:space="0" w:color="auto"/>
            <w:bottom w:val="none" w:sz="0" w:space="0" w:color="auto"/>
            <w:right w:val="none" w:sz="0" w:space="0" w:color="auto"/>
          </w:divBdr>
        </w:div>
        <w:div w:id="861549798">
          <w:marLeft w:val="480"/>
          <w:marRight w:val="0"/>
          <w:marTop w:val="0"/>
          <w:marBottom w:val="0"/>
          <w:divBdr>
            <w:top w:val="none" w:sz="0" w:space="0" w:color="auto"/>
            <w:left w:val="none" w:sz="0" w:space="0" w:color="auto"/>
            <w:bottom w:val="none" w:sz="0" w:space="0" w:color="auto"/>
            <w:right w:val="none" w:sz="0" w:space="0" w:color="auto"/>
          </w:divBdr>
        </w:div>
        <w:div w:id="1860774473">
          <w:marLeft w:val="480"/>
          <w:marRight w:val="0"/>
          <w:marTop w:val="0"/>
          <w:marBottom w:val="0"/>
          <w:divBdr>
            <w:top w:val="none" w:sz="0" w:space="0" w:color="auto"/>
            <w:left w:val="none" w:sz="0" w:space="0" w:color="auto"/>
            <w:bottom w:val="none" w:sz="0" w:space="0" w:color="auto"/>
            <w:right w:val="none" w:sz="0" w:space="0" w:color="auto"/>
          </w:divBdr>
        </w:div>
        <w:div w:id="1447775230">
          <w:marLeft w:val="480"/>
          <w:marRight w:val="0"/>
          <w:marTop w:val="0"/>
          <w:marBottom w:val="0"/>
          <w:divBdr>
            <w:top w:val="none" w:sz="0" w:space="0" w:color="auto"/>
            <w:left w:val="none" w:sz="0" w:space="0" w:color="auto"/>
            <w:bottom w:val="none" w:sz="0" w:space="0" w:color="auto"/>
            <w:right w:val="none" w:sz="0" w:space="0" w:color="auto"/>
          </w:divBdr>
        </w:div>
        <w:div w:id="1815640466">
          <w:marLeft w:val="480"/>
          <w:marRight w:val="0"/>
          <w:marTop w:val="0"/>
          <w:marBottom w:val="0"/>
          <w:divBdr>
            <w:top w:val="none" w:sz="0" w:space="0" w:color="auto"/>
            <w:left w:val="none" w:sz="0" w:space="0" w:color="auto"/>
            <w:bottom w:val="none" w:sz="0" w:space="0" w:color="auto"/>
            <w:right w:val="none" w:sz="0" w:space="0" w:color="auto"/>
          </w:divBdr>
        </w:div>
        <w:div w:id="44452276">
          <w:marLeft w:val="480"/>
          <w:marRight w:val="0"/>
          <w:marTop w:val="0"/>
          <w:marBottom w:val="0"/>
          <w:divBdr>
            <w:top w:val="none" w:sz="0" w:space="0" w:color="auto"/>
            <w:left w:val="none" w:sz="0" w:space="0" w:color="auto"/>
            <w:bottom w:val="none" w:sz="0" w:space="0" w:color="auto"/>
            <w:right w:val="none" w:sz="0" w:space="0" w:color="auto"/>
          </w:divBdr>
        </w:div>
        <w:div w:id="329522158">
          <w:marLeft w:val="480"/>
          <w:marRight w:val="0"/>
          <w:marTop w:val="0"/>
          <w:marBottom w:val="0"/>
          <w:divBdr>
            <w:top w:val="none" w:sz="0" w:space="0" w:color="auto"/>
            <w:left w:val="none" w:sz="0" w:space="0" w:color="auto"/>
            <w:bottom w:val="none" w:sz="0" w:space="0" w:color="auto"/>
            <w:right w:val="none" w:sz="0" w:space="0" w:color="auto"/>
          </w:divBdr>
        </w:div>
        <w:div w:id="438914284">
          <w:marLeft w:val="480"/>
          <w:marRight w:val="0"/>
          <w:marTop w:val="0"/>
          <w:marBottom w:val="0"/>
          <w:divBdr>
            <w:top w:val="none" w:sz="0" w:space="0" w:color="auto"/>
            <w:left w:val="none" w:sz="0" w:space="0" w:color="auto"/>
            <w:bottom w:val="none" w:sz="0" w:space="0" w:color="auto"/>
            <w:right w:val="none" w:sz="0" w:space="0" w:color="auto"/>
          </w:divBdr>
        </w:div>
        <w:div w:id="419450798">
          <w:marLeft w:val="480"/>
          <w:marRight w:val="0"/>
          <w:marTop w:val="0"/>
          <w:marBottom w:val="0"/>
          <w:divBdr>
            <w:top w:val="none" w:sz="0" w:space="0" w:color="auto"/>
            <w:left w:val="none" w:sz="0" w:space="0" w:color="auto"/>
            <w:bottom w:val="none" w:sz="0" w:space="0" w:color="auto"/>
            <w:right w:val="none" w:sz="0" w:space="0" w:color="auto"/>
          </w:divBdr>
        </w:div>
        <w:div w:id="1690251971">
          <w:marLeft w:val="480"/>
          <w:marRight w:val="0"/>
          <w:marTop w:val="0"/>
          <w:marBottom w:val="0"/>
          <w:divBdr>
            <w:top w:val="none" w:sz="0" w:space="0" w:color="auto"/>
            <w:left w:val="none" w:sz="0" w:space="0" w:color="auto"/>
            <w:bottom w:val="none" w:sz="0" w:space="0" w:color="auto"/>
            <w:right w:val="none" w:sz="0" w:space="0" w:color="auto"/>
          </w:divBdr>
        </w:div>
        <w:div w:id="216089405">
          <w:marLeft w:val="480"/>
          <w:marRight w:val="0"/>
          <w:marTop w:val="0"/>
          <w:marBottom w:val="0"/>
          <w:divBdr>
            <w:top w:val="none" w:sz="0" w:space="0" w:color="auto"/>
            <w:left w:val="none" w:sz="0" w:space="0" w:color="auto"/>
            <w:bottom w:val="none" w:sz="0" w:space="0" w:color="auto"/>
            <w:right w:val="none" w:sz="0" w:space="0" w:color="auto"/>
          </w:divBdr>
        </w:div>
      </w:divsChild>
    </w:div>
    <w:div w:id="256449103">
      <w:bodyDiv w:val="1"/>
      <w:marLeft w:val="0"/>
      <w:marRight w:val="0"/>
      <w:marTop w:val="0"/>
      <w:marBottom w:val="0"/>
      <w:divBdr>
        <w:top w:val="none" w:sz="0" w:space="0" w:color="auto"/>
        <w:left w:val="none" w:sz="0" w:space="0" w:color="auto"/>
        <w:bottom w:val="none" w:sz="0" w:space="0" w:color="auto"/>
        <w:right w:val="none" w:sz="0" w:space="0" w:color="auto"/>
      </w:divBdr>
    </w:div>
    <w:div w:id="258564587">
      <w:bodyDiv w:val="1"/>
      <w:marLeft w:val="0"/>
      <w:marRight w:val="0"/>
      <w:marTop w:val="0"/>
      <w:marBottom w:val="0"/>
      <w:divBdr>
        <w:top w:val="none" w:sz="0" w:space="0" w:color="auto"/>
        <w:left w:val="none" w:sz="0" w:space="0" w:color="auto"/>
        <w:bottom w:val="none" w:sz="0" w:space="0" w:color="auto"/>
        <w:right w:val="none" w:sz="0" w:space="0" w:color="auto"/>
      </w:divBdr>
      <w:divsChild>
        <w:div w:id="1221358245">
          <w:marLeft w:val="480"/>
          <w:marRight w:val="0"/>
          <w:marTop w:val="0"/>
          <w:marBottom w:val="0"/>
          <w:divBdr>
            <w:top w:val="none" w:sz="0" w:space="0" w:color="auto"/>
            <w:left w:val="none" w:sz="0" w:space="0" w:color="auto"/>
            <w:bottom w:val="none" w:sz="0" w:space="0" w:color="auto"/>
            <w:right w:val="none" w:sz="0" w:space="0" w:color="auto"/>
          </w:divBdr>
        </w:div>
        <w:div w:id="1271665646">
          <w:marLeft w:val="480"/>
          <w:marRight w:val="0"/>
          <w:marTop w:val="0"/>
          <w:marBottom w:val="0"/>
          <w:divBdr>
            <w:top w:val="none" w:sz="0" w:space="0" w:color="auto"/>
            <w:left w:val="none" w:sz="0" w:space="0" w:color="auto"/>
            <w:bottom w:val="none" w:sz="0" w:space="0" w:color="auto"/>
            <w:right w:val="none" w:sz="0" w:space="0" w:color="auto"/>
          </w:divBdr>
        </w:div>
        <w:div w:id="512913596">
          <w:marLeft w:val="480"/>
          <w:marRight w:val="0"/>
          <w:marTop w:val="0"/>
          <w:marBottom w:val="0"/>
          <w:divBdr>
            <w:top w:val="none" w:sz="0" w:space="0" w:color="auto"/>
            <w:left w:val="none" w:sz="0" w:space="0" w:color="auto"/>
            <w:bottom w:val="none" w:sz="0" w:space="0" w:color="auto"/>
            <w:right w:val="none" w:sz="0" w:space="0" w:color="auto"/>
          </w:divBdr>
        </w:div>
        <w:div w:id="2102799810">
          <w:marLeft w:val="480"/>
          <w:marRight w:val="0"/>
          <w:marTop w:val="0"/>
          <w:marBottom w:val="0"/>
          <w:divBdr>
            <w:top w:val="none" w:sz="0" w:space="0" w:color="auto"/>
            <w:left w:val="none" w:sz="0" w:space="0" w:color="auto"/>
            <w:bottom w:val="none" w:sz="0" w:space="0" w:color="auto"/>
            <w:right w:val="none" w:sz="0" w:space="0" w:color="auto"/>
          </w:divBdr>
        </w:div>
        <w:div w:id="1849444220">
          <w:marLeft w:val="480"/>
          <w:marRight w:val="0"/>
          <w:marTop w:val="0"/>
          <w:marBottom w:val="0"/>
          <w:divBdr>
            <w:top w:val="none" w:sz="0" w:space="0" w:color="auto"/>
            <w:left w:val="none" w:sz="0" w:space="0" w:color="auto"/>
            <w:bottom w:val="none" w:sz="0" w:space="0" w:color="auto"/>
            <w:right w:val="none" w:sz="0" w:space="0" w:color="auto"/>
          </w:divBdr>
        </w:div>
      </w:divsChild>
    </w:div>
    <w:div w:id="268243180">
      <w:bodyDiv w:val="1"/>
      <w:marLeft w:val="0"/>
      <w:marRight w:val="0"/>
      <w:marTop w:val="0"/>
      <w:marBottom w:val="0"/>
      <w:divBdr>
        <w:top w:val="none" w:sz="0" w:space="0" w:color="auto"/>
        <w:left w:val="none" w:sz="0" w:space="0" w:color="auto"/>
        <w:bottom w:val="none" w:sz="0" w:space="0" w:color="auto"/>
        <w:right w:val="none" w:sz="0" w:space="0" w:color="auto"/>
      </w:divBdr>
    </w:div>
    <w:div w:id="285354522">
      <w:bodyDiv w:val="1"/>
      <w:marLeft w:val="0"/>
      <w:marRight w:val="0"/>
      <w:marTop w:val="0"/>
      <w:marBottom w:val="0"/>
      <w:divBdr>
        <w:top w:val="none" w:sz="0" w:space="0" w:color="auto"/>
        <w:left w:val="none" w:sz="0" w:space="0" w:color="auto"/>
        <w:bottom w:val="none" w:sz="0" w:space="0" w:color="auto"/>
        <w:right w:val="none" w:sz="0" w:space="0" w:color="auto"/>
      </w:divBdr>
      <w:divsChild>
        <w:div w:id="1585722362">
          <w:marLeft w:val="480"/>
          <w:marRight w:val="0"/>
          <w:marTop w:val="0"/>
          <w:marBottom w:val="0"/>
          <w:divBdr>
            <w:top w:val="none" w:sz="0" w:space="0" w:color="auto"/>
            <w:left w:val="none" w:sz="0" w:space="0" w:color="auto"/>
            <w:bottom w:val="none" w:sz="0" w:space="0" w:color="auto"/>
            <w:right w:val="none" w:sz="0" w:space="0" w:color="auto"/>
          </w:divBdr>
        </w:div>
        <w:div w:id="255672441">
          <w:marLeft w:val="480"/>
          <w:marRight w:val="0"/>
          <w:marTop w:val="0"/>
          <w:marBottom w:val="0"/>
          <w:divBdr>
            <w:top w:val="none" w:sz="0" w:space="0" w:color="auto"/>
            <w:left w:val="none" w:sz="0" w:space="0" w:color="auto"/>
            <w:bottom w:val="none" w:sz="0" w:space="0" w:color="auto"/>
            <w:right w:val="none" w:sz="0" w:space="0" w:color="auto"/>
          </w:divBdr>
        </w:div>
        <w:div w:id="2033267127">
          <w:marLeft w:val="480"/>
          <w:marRight w:val="0"/>
          <w:marTop w:val="0"/>
          <w:marBottom w:val="0"/>
          <w:divBdr>
            <w:top w:val="none" w:sz="0" w:space="0" w:color="auto"/>
            <w:left w:val="none" w:sz="0" w:space="0" w:color="auto"/>
            <w:bottom w:val="none" w:sz="0" w:space="0" w:color="auto"/>
            <w:right w:val="none" w:sz="0" w:space="0" w:color="auto"/>
          </w:divBdr>
        </w:div>
        <w:div w:id="1393774104">
          <w:marLeft w:val="480"/>
          <w:marRight w:val="0"/>
          <w:marTop w:val="0"/>
          <w:marBottom w:val="0"/>
          <w:divBdr>
            <w:top w:val="none" w:sz="0" w:space="0" w:color="auto"/>
            <w:left w:val="none" w:sz="0" w:space="0" w:color="auto"/>
            <w:bottom w:val="none" w:sz="0" w:space="0" w:color="auto"/>
            <w:right w:val="none" w:sz="0" w:space="0" w:color="auto"/>
          </w:divBdr>
        </w:div>
        <w:div w:id="233586195">
          <w:marLeft w:val="480"/>
          <w:marRight w:val="0"/>
          <w:marTop w:val="0"/>
          <w:marBottom w:val="0"/>
          <w:divBdr>
            <w:top w:val="none" w:sz="0" w:space="0" w:color="auto"/>
            <w:left w:val="none" w:sz="0" w:space="0" w:color="auto"/>
            <w:bottom w:val="none" w:sz="0" w:space="0" w:color="auto"/>
            <w:right w:val="none" w:sz="0" w:space="0" w:color="auto"/>
          </w:divBdr>
        </w:div>
        <w:div w:id="2095474301">
          <w:marLeft w:val="480"/>
          <w:marRight w:val="0"/>
          <w:marTop w:val="0"/>
          <w:marBottom w:val="0"/>
          <w:divBdr>
            <w:top w:val="none" w:sz="0" w:space="0" w:color="auto"/>
            <w:left w:val="none" w:sz="0" w:space="0" w:color="auto"/>
            <w:bottom w:val="none" w:sz="0" w:space="0" w:color="auto"/>
            <w:right w:val="none" w:sz="0" w:space="0" w:color="auto"/>
          </w:divBdr>
        </w:div>
        <w:div w:id="1993212902">
          <w:marLeft w:val="480"/>
          <w:marRight w:val="0"/>
          <w:marTop w:val="0"/>
          <w:marBottom w:val="0"/>
          <w:divBdr>
            <w:top w:val="none" w:sz="0" w:space="0" w:color="auto"/>
            <w:left w:val="none" w:sz="0" w:space="0" w:color="auto"/>
            <w:bottom w:val="none" w:sz="0" w:space="0" w:color="auto"/>
            <w:right w:val="none" w:sz="0" w:space="0" w:color="auto"/>
          </w:divBdr>
        </w:div>
      </w:divsChild>
    </w:div>
    <w:div w:id="346837349">
      <w:bodyDiv w:val="1"/>
      <w:marLeft w:val="0"/>
      <w:marRight w:val="0"/>
      <w:marTop w:val="0"/>
      <w:marBottom w:val="0"/>
      <w:divBdr>
        <w:top w:val="none" w:sz="0" w:space="0" w:color="auto"/>
        <w:left w:val="none" w:sz="0" w:space="0" w:color="auto"/>
        <w:bottom w:val="none" w:sz="0" w:space="0" w:color="auto"/>
        <w:right w:val="none" w:sz="0" w:space="0" w:color="auto"/>
      </w:divBdr>
      <w:divsChild>
        <w:div w:id="1207377984">
          <w:marLeft w:val="480"/>
          <w:marRight w:val="0"/>
          <w:marTop w:val="0"/>
          <w:marBottom w:val="0"/>
          <w:divBdr>
            <w:top w:val="none" w:sz="0" w:space="0" w:color="auto"/>
            <w:left w:val="none" w:sz="0" w:space="0" w:color="auto"/>
            <w:bottom w:val="none" w:sz="0" w:space="0" w:color="auto"/>
            <w:right w:val="none" w:sz="0" w:space="0" w:color="auto"/>
          </w:divBdr>
        </w:div>
        <w:div w:id="1425102859">
          <w:marLeft w:val="480"/>
          <w:marRight w:val="0"/>
          <w:marTop w:val="0"/>
          <w:marBottom w:val="0"/>
          <w:divBdr>
            <w:top w:val="none" w:sz="0" w:space="0" w:color="auto"/>
            <w:left w:val="none" w:sz="0" w:space="0" w:color="auto"/>
            <w:bottom w:val="none" w:sz="0" w:space="0" w:color="auto"/>
            <w:right w:val="none" w:sz="0" w:space="0" w:color="auto"/>
          </w:divBdr>
        </w:div>
        <w:div w:id="783579365">
          <w:marLeft w:val="480"/>
          <w:marRight w:val="0"/>
          <w:marTop w:val="0"/>
          <w:marBottom w:val="0"/>
          <w:divBdr>
            <w:top w:val="none" w:sz="0" w:space="0" w:color="auto"/>
            <w:left w:val="none" w:sz="0" w:space="0" w:color="auto"/>
            <w:bottom w:val="none" w:sz="0" w:space="0" w:color="auto"/>
            <w:right w:val="none" w:sz="0" w:space="0" w:color="auto"/>
          </w:divBdr>
        </w:div>
        <w:div w:id="607543078">
          <w:marLeft w:val="480"/>
          <w:marRight w:val="0"/>
          <w:marTop w:val="0"/>
          <w:marBottom w:val="0"/>
          <w:divBdr>
            <w:top w:val="none" w:sz="0" w:space="0" w:color="auto"/>
            <w:left w:val="none" w:sz="0" w:space="0" w:color="auto"/>
            <w:bottom w:val="none" w:sz="0" w:space="0" w:color="auto"/>
            <w:right w:val="none" w:sz="0" w:space="0" w:color="auto"/>
          </w:divBdr>
        </w:div>
        <w:div w:id="1720279529">
          <w:marLeft w:val="480"/>
          <w:marRight w:val="0"/>
          <w:marTop w:val="0"/>
          <w:marBottom w:val="0"/>
          <w:divBdr>
            <w:top w:val="none" w:sz="0" w:space="0" w:color="auto"/>
            <w:left w:val="none" w:sz="0" w:space="0" w:color="auto"/>
            <w:bottom w:val="none" w:sz="0" w:space="0" w:color="auto"/>
            <w:right w:val="none" w:sz="0" w:space="0" w:color="auto"/>
          </w:divBdr>
        </w:div>
        <w:div w:id="1376588984">
          <w:marLeft w:val="480"/>
          <w:marRight w:val="0"/>
          <w:marTop w:val="0"/>
          <w:marBottom w:val="0"/>
          <w:divBdr>
            <w:top w:val="none" w:sz="0" w:space="0" w:color="auto"/>
            <w:left w:val="none" w:sz="0" w:space="0" w:color="auto"/>
            <w:bottom w:val="none" w:sz="0" w:space="0" w:color="auto"/>
            <w:right w:val="none" w:sz="0" w:space="0" w:color="auto"/>
          </w:divBdr>
        </w:div>
        <w:div w:id="1819607362">
          <w:marLeft w:val="480"/>
          <w:marRight w:val="0"/>
          <w:marTop w:val="0"/>
          <w:marBottom w:val="0"/>
          <w:divBdr>
            <w:top w:val="none" w:sz="0" w:space="0" w:color="auto"/>
            <w:left w:val="none" w:sz="0" w:space="0" w:color="auto"/>
            <w:bottom w:val="none" w:sz="0" w:space="0" w:color="auto"/>
            <w:right w:val="none" w:sz="0" w:space="0" w:color="auto"/>
          </w:divBdr>
        </w:div>
        <w:div w:id="1098016569">
          <w:marLeft w:val="480"/>
          <w:marRight w:val="0"/>
          <w:marTop w:val="0"/>
          <w:marBottom w:val="0"/>
          <w:divBdr>
            <w:top w:val="none" w:sz="0" w:space="0" w:color="auto"/>
            <w:left w:val="none" w:sz="0" w:space="0" w:color="auto"/>
            <w:bottom w:val="none" w:sz="0" w:space="0" w:color="auto"/>
            <w:right w:val="none" w:sz="0" w:space="0" w:color="auto"/>
          </w:divBdr>
        </w:div>
      </w:divsChild>
    </w:div>
    <w:div w:id="390619784">
      <w:bodyDiv w:val="1"/>
      <w:marLeft w:val="0"/>
      <w:marRight w:val="0"/>
      <w:marTop w:val="0"/>
      <w:marBottom w:val="0"/>
      <w:divBdr>
        <w:top w:val="none" w:sz="0" w:space="0" w:color="auto"/>
        <w:left w:val="none" w:sz="0" w:space="0" w:color="auto"/>
        <w:bottom w:val="none" w:sz="0" w:space="0" w:color="auto"/>
        <w:right w:val="none" w:sz="0" w:space="0" w:color="auto"/>
      </w:divBdr>
      <w:divsChild>
        <w:div w:id="1654022767">
          <w:marLeft w:val="480"/>
          <w:marRight w:val="0"/>
          <w:marTop w:val="0"/>
          <w:marBottom w:val="0"/>
          <w:divBdr>
            <w:top w:val="none" w:sz="0" w:space="0" w:color="auto"/>
            <w:left w:val="none" w:sz="0" w:space="0" w:color="auto"/>
            <w:bottom w:val="none" w:sz="0" w:space="0" w:color="auto"/>
            <w:right w:val="none" w:sz="0" w:space="0" w:color="auto"/>
          </w:divBdr>
        </w:div>
        <w:div w:id="1325936589">
          <w:marLeft w:val="480"/>
          <w:marRight w:val="0"/>
          <w:marTop w:val="0"/>
          <w:marBottom w:val="0"/>
          <w:divBdr>
            <w:top w:val="none" w:sz="0" w:space="0" w:color="auto"/>
            <w:left w:val="none" w:sz="0" w:space="0" w:color="auto"/>
            <w:bottom w:val="none" w:sz="0" w:space="0" w:color="auto"/>
            <w:right w:val="none" w:sz="0" w:space="0" w:color="auto"/>
          </w:divBdr>
        </w:div>
        <w:div w:id="1949309735">
          <w:marLeft w:val="480"/>
          <w:marRight w:val="0"/>
          <w:marTop w:val="0"/>
          <w:marBottom w:val="0"/>
          <w:divBdr>
            <w:top w:val="none" w:sz="0" w:space="0" w:color="auto"/>
            <w:left w:val="none" w:sz="0" w:space="0" w:color="auto"/>
            <w:bottom w:val="none" w:sz="0" w:space="0" w:color="auto"/>
            <w:right w:val="none" w:sz="0" w:space="0" w:color="auto"/>
          </w:divBdr>
        </w:div>
        <w:div w:id="1134566226">
          <w:marLeft w:val="480"/>
          <w:marRight w:val="0"/>
          <w:marTop w:val="0"/>
          <w:marBottom w:val="0"/>
          <w:divBdr>
            <w:top w:val="none" w:sz="0" w:space="0" w:color="auto"/>
            <w:left w:val="none" w:sz="0" w:space="0" w:color="auto"/>
            <w:bottom w:val="none" w:sz="0" w:space="0" w:color="auto"/>
            <w:right w:val="none" w:sz="0" w:space="0" w:color="auto"/>
          </w:divBdr>
        </w:div>
        <w:div w:id="633868667">
          <w:marLeft w:val="480"/>
          <w:marRight w:val="0"/>
          <w:marTop w:val="0"/>
          <w:marBottom w:val="0"/>
          <w:divBdr>
            <w:top w:val="none" w:sz="0" w:space="0" w:color="auto"/>
            <w:left w:val="none" w:sz="0" w:space="0" w:color="auto"/>
            <w:bottom w:val="none" w:sz="0" w:space="0" w:color="auto"/>
            <w:right w:val="none" w:sz="0" w:space="0" w:color="auto"/>
          </w:divBdr>
        </w:div>
        <w:div w:id="368266005">
          <w:marLeft w:val="480"/>
          <w:marRight w:val="0"/>
          <w:marTop w:val="0"/>
          <w:marBottom w:val="0"/>
          <w:divBdr>
            <w:top w:val="none" w:sz="0" w:space="0" w:color="auto"/>
            <w:left w:val="none" w:sz="0" w:space="0" w:color="auto"/>
            <w:bottom w:val="none" w:sz="0" w:space="0" w:color="auto"/>
            <w:right w:val="none" w:sz="0" w:space="0" w:color="auto"/>
          </w:divBdr>
        </w:div>
        <w:div w:id="147719640">
          <w:marLeft w:val="480"/>
          <w:marRight w:val="0"/>
          <w:marTop w:val="0"/>
          <w:marBottom w:val="0"/>
          <w:divBdr>
            <w:top w:val="none" w:sz="0" w:space="0" w:color="auto"/>
            <w:left w:val="none" w:sz="0" w:space="0" w:color="auto"/>
            <w:bottom w:val="none" w:sz="0" w:space="0" w:color="auto"/>
            <w:right w:val="none" w:sz="0" w:space="0" w:color="auto"/>
          </w:divBdr>
        </w:div>
        <w:div w:id="1134375698">
          <w:marLeft w:val="480"/>
          <w:marRight w:val="0"/>
          <w:marTop w:val="0"/>
          <w:marBottom w:val="0"/>
          <w:divBdr>
            <w:top w:val="none" w:sz="0" w:space="0" w:color="auto"/>
            <w:left w:val="none" w:sz="0" w:space="0" w:color="auto"/>
            <w:bottom w:val="none" w:sz="0" w:space="0" w:color="auto"/>
            <w:right w:val="none" w:sz="0" w:space="0" w:color="auto"/>
          </w:divBdr>
        </w:div>
        <w:div w:id="1460220900">
          <w:marLeft w:val="480"/>
          <w:marRight w:val="0"/>
          <w:marTop w:val="0"/>
          <w:marBottom w:val="0"/>
          <w:divBdr>
            <w:top w:val="none" w:sz="0" w:space="0" w:color="auto"/>
            <w:left w:val="none" w:sz="0" w:space="0" w:color="auto"/>
            <w:bottom w:val="none" w:sz="0" w:space="0" w:color="auto"/>
            <w:right w:val="none" w:sz="0" w:space="0" w:color="auto"/>
          </w:divBdr>
        </w:div>
        <w:div w:id="1125349242">
          <w:marLeft w:val="480"/>
          <w:marRight w:val="0"/>
          <w:marTop w:val="0"/>
          <w:marBottom w:val="0"/>
          <w:divBdr>
            <w:top w:val="none" w:sz="0" w:space="0" w:color="auto"/>
            <w:left w:val="none" w:sz="0" w:space="0" w:color="auto"/>
            <w:bottom w:val="none" w:sz="0" w:space="0" w:color="auto"/>
            <w:right w:val="none" w:sz="0" w:space="0" w:color="auto"/>
          </w:divBdr>
        </w:div>
        <w:div w:id="1061634800">
          <w:marLeft w:val="480"/>
          <w:marRight w:val="0"/>
          <w:marTop w:val="0"/>
          <w:marBottom w:val="0"/>
          <w:divBdr>
            <w:top w:val="none" w:sz="0" w:space="0" w:color="auto"/>
            <w:left w:val="none" w:sz="0" w:space="0" w:color="auto"/>
            <w:bottom w:val="none" w:sz="0" w:space="0" w:color="auto"/>
            <w:right w:val="none" w:sz="0" w:space="0" w:color="auto"/>
          </w:divBdr>
        </w:div>
        <w:div w:id="263005227">
          <w:marLeft w:val="480"/>
          <w:marRight w:val="0"/>
          <w:marTop w:val="0"/>
          <w:marBottom w:val="0"/>
          <w:divBdr>
            <w:top w:val="none" w:sz="0" w:space="0" w:color="auto"/>
            <w:left w:val="none" w:sz="0" w:space="0" w:color="auto"/>
            <w:bottom w:val="none" w:sz="0" w:space="0" w:color="auto"/>
            <w:right w:val="none" w:sz="0" w:space="0" w:color="auto"/>
          </w:divBdr>
        </w:div>
      </w:divsChild>
    </w:div>
    <w:div w:id="398987822">
      <w:bodyDiv w:val="1"/>
      <w:marLeft w:val="0"/>
      <w:marRight w:val="0"/>
      <w:marTop w:val="0"/>
      <w:marBottom w:val="0"/>
      <w:divBdr>
        <w:top w:val="none" w:sz="0" w:space="0" w:color="auto"/>
        <w:left w:val="none" w:sz="0" w:space="0" w:color="auto"/>
        <w:bottom w:val="none" w:sz="0" w:space="0" w:color="auto"/>
        <w:right w:val="none" w:sz="0" w:space="0" w:color="auto"/>
      </w:divBdr>
    </w:div>
    <w:div w:id="400755626">
      <w:bodyDiv w:val="1"/>
      <w:marLeft w:val="0"/>
      <w:marRight w:val="0"/>
      <w:marTop w:val="0"/>
      <w:marBottom w:val="0"/>
      <w:divBdr>
        <w:top w:val="none" w:sz="0" w:space="0" w:color="auto"/>
        <w:left w:val="none" w:sz="0" w:space="0" w:color="auto"/>
        <w:bottom w:val="none" w:sz="0" w:space="0" w:color="auto"/>
        <w:right w:val="none" w:sz="0" w:space="0" w:color="auto"/>
      </w:divBdr>
    </w:div>
    <w:div w:id="468060740">
      <w:bodyDiv w:val="1"/>
      <w:marLeft w:val="0"/>
      <w:marRight w:val="0"/>
      <w:marTop w:val="0"/>
      <w:marBottom w:val="0"/>
      <w:divBdr>
        <w:top w:val="none" w:sz="0" w:space="0" w:color="auto"/>
        <w:left w:val="none" w:sz="0" w:space="0" w:color="auto"/>
        <w:bottom w:val="none" w:sz="0" w:space="0" w:color="auto"/>
        <w:right w:val="none" w:sz="0" w:space="0" w:color="auto"/>
      </w:divBdr>
    </w:div>
    <w:div w:id="475033418">
      <w:bodyDiv w:val="1"/>
      <w:marLeft w:val="0"/>
      <w:marRight w:val="0"/>
      <w:marTop w:val="0"/>
      <w:marBottom w:val="0"/>
      <w:divBdr>
        <w:top w:val="none" w:sz="0" w:space="0" w:color="auto"/>
        <w:left w:val="none" w:sz="0" w:space="0" w:color="auto"/>
        <w:bottom w:val="none" w:sz="0" w:space="0" w:color="auto"/>
        <w:right w:val="none" w:sz="0" w:space="0" w:color="auto"/>
      </w:divBdr>
      <w:divsChild>
        <w:div w:id="348021422">
          <w:marLeft w:val="480"/>
          <w:marRight w:val="0"/>
          <w:marTop w:val="0"/>
          <w:marBottom w:val="0"/>
          <w:divBdr>
            <w:top w:val="none" w:sz="0" w:space="0" w:color="auto"/>
            <w:left w:val="none" w:sz="0" w:space="0" w:color="auto"/>
            <w:bottom w:val="none" w:sz="0" w:space="0" w:color="auto"/>
            <w:right w:val="none" w:sz="0" w:space="0" w:color="auto"/>
          </w:divBdr>
        </w:div>
        <w:div w:id="1103376951">
          <w:marLeft w:val="480"/>
          <w:marRight w:val="0"/>
          <w:marTop w:val="0"/>
          <w:marBottom w:val="0"/>
          <w:divBdr>
            <w:top w:val="none" w:sz="0" w:space="0" w:color="auto"/>
            <w:left w:val="none" w:sz="0" w:space="0" w:color="auto"/>
            <w:bottom w:val="none" w:sz="0" w:space="0" w:color="auto"/>
            <w:right w:val="none" w:sz="0" w:space="0" w:color="auto"/>
          </w:divBdr>
        </w:div>
        <w:div w:id="2024554959">
          <w:marLeft w:val="480"/>
          <w:marRight w:val="0"/>
          <w:marTop w:val="0"/>
          <w:marBottom w:val="0"/>
          <w:divBdr>
            <w:top w:val="none" w:sz="0" w:space="0" w:color="auto"/>
            <w:left w:val="none" w:sz="0" w:space="0" w:color="auto"/>
            <w:bottom w:val="none" w:sz="0" w:space="0" w:color="auto"/>
            <w:right w:val="none" w:sz="0" w:space="0" w:color="auto"/>
          </w:divBdr>
        </w:div>
        <w:div w:id="1317683093">
          <w:marLeft w:val="480"/>
          <w:marRight w:val="0"/>
          <w:marTop w:val="0"/>
          <w:marBottom w:val="0"/>
          <w:divBdr>
            <w:top w:val="none" w:sz="0" w:space="0" w:color="auto"/>
            <w:left w:val="none" w:sz="0" w:space="0" w:color="auto"/>
            <w:bottom w:val="none" w:sz="0" w:space="0" w:color="auto"/>
            <w:right w:val="none" w:sz="0" w:space="0" w:color="auto"/>
          </w:divBdr>
        </w:div>
        <w:div w:id="1636065028">
          <w:marLeft w:val="480"/>
          <w:marRight w:val="0"/>
          <w:marTop w:val="0"/>
          <w:marBottom w:val="0"/>
          <w:divBdr>
            <w:top w:val="none" w:sz="0" w:space="0" w:color="auto"/>
            <w:left w:val="none" w:sz="0" w:space="0" w:color="auto"/>
            <w:bottom w:val="none" w:sz="0" w:space="0" w:color="auto"/>
            <w:right w:val="none" w:sz="0" w:space="0" w:color="auto"/>
          </w:divBdr>
        </w:div>
        <w:div w:id="783382555">
          <w:marLeft w:val="480"/>
          <w:marRight w:val="0"/>
          <w:marTop w:val="0"/>
          <w:marBottom w:val="0"/>
          <w:divBdr>
            <w:top w:val="none" w:sz="0" w:space="0" w:color="auto"/>
            <w:left w:val="none" w:sz="0" w:space="0" w:color="auto"/>
            <w:bottom w:val="none" w:sz="0" w:space="0" w:color="auto"/>
            <w:right w:val="none" w:sz="0" w:space="0" w:color="auto"/>
          </w:divBdr>
        </w:div>
        <w:div w:id="1044715152">
          <w:marLeft w:val="480"/>
          <w:marRight w:val="0"/>
          <w:marTop w:val="0"/>
          <w:marBottom w:val="0"/>
          <w:divBdr>
            <w:top w:val="none" w:sz="0" w:space="0" w:color="auto"/>
            <w:left w:val="none" w:sz="0" w:space="0" w:color="auto"/>
            <w:bottom w:val="none" w:sz="0" w:space="0" w:color="auto"/>
            <w:right w:val="none" w:sz="0" w:space="0" w:color="auto"/>
          </w:divBdr>
        </w:div>
        <w:div w:id="515659791">
          <w:marLeft w:val="480"/>
          <w:marRight w:val="0"/>
          <w:marTop w:val="0"/>
          <w:marBottom w:val="0"/>
          <w:divBdr>
            <w:top w:val="none" w:sz="0" w:space="0" w:color="auto"/>
            <w:left w:val="none" w:sz="0" w:space="0" w:color="auto"/>
            <w:bottom w:val="none" w:sz="0" w:space="0" w:color="auto"/>
            <w:right w:val="none" w:sz="0" w:space="0" w:color="auto"/>
          </w:divBdr>
        </w:div>
        <w:div w:id="1653556197">
          <w:marLeft w:val="480"/>
          <w:marRight w:val="0"/>
          <w:marTop w:val="0"/>
          <w:marBottom w:val="0"/>
          <w:divBdr>
            <w:top w:val="none" w:sz="0" w:space="0" w:color="auto"/>
            <w:left w:val="none" w:sz="0" w:space="0" w:color="auto"/>
            <w:bottom w:val="none" w:sz="0" w:space="0" w:color="auto"/>
            <w:right w:val="none" w:sz="0" w:space="0" w:color="auto"/>
          </w:divBdr>
        </w:div>
        <w:div w:id="1251087568">
          <w:marLeft w:val="480"/>
          <w:marRight w:val="0"/>
          <w:marTop w:val="0"/>
          <w:marBottom w:val="0"/>
          <w:divBdr>
            <w:top w:val="none" w:sz="0" w:space="0" w:color="auto"/>
            <w:left w:val="none" w:sz="0" w:space="0" w:color="auto"/>
            <w:bottom w:val="none" w:sz="0" w:space="0" w:color="auto"/>
            <w:right w:val="none" w:sz="0" w:space="0" w:color="auto"/>
          </w:divBdr>
        </w:div>
        <w:div w:id="2041469236">
          <w:marLeft w:val="480"/>
          <w:marRight w:val="0"/>
          <w:marTop w:val="0"/>
          <w:marBottom w:val="0"/>
          <w:divBdr>
            <w:top w:val="none" w:sz="0" w:space="0" w:color="auto"/>
            <w:left w:val="none" w:sz="0" w:space="0" w:color="auto"/>
            <w:bottom w:val="none" w:sz="0" w:space="0" w:color="auto"/>
            <w:right w:val="none" w:sz="0" w:space="0" w:color="auto"/>
          </w:divBdr>
        </w:div>
        <w:div w:id="1311053949">
          <w:marLeft w:val="480"/>
          <w:marRight w:val="0"/>
          <w:marTop w:val="0"/>
          <w:marBottom w:val="0"/>
          <w:divBdr>
            <w:top w:val="none" w:sz="0" w:space="0" w:color="auto"/>
            <w:left w:val="none" w:sz="0" w:space="0" w:color="auto"/>
            <w:bottom w:val="none" w:sz="0" w:space="0" w:color="auto"/>
            <w:right w:val="none" w:sz="0" w:space="0" w:color="auto"/>
          </w:divBdr>
        </w:div>
        <w:div w:id="313606643">
          <w:marLeft w:val="480"/>
          <w:marRight w:val="0"/>
          <w:marTop w:val="0"/>
          <w:marBottom w:val="0"/>
          <w:divBdr>
            <w:top w:val="none" w:sz="0" w:space="0" w:color="auto"/>
            <w:left w:val="none" w:sz="0" w:space="0" w:color="auto"/>
            <w:bottom w:val="none" w:sz="0" w:space="0" w:color="auto"/>
            <w:right w:val="none" w:sz="0" w:space="0" w:color="auto"/>
          </w:divBdr>
        </w:div>
      </w:divsChild>
    </w:div>
    <w:div w:id="491993035">
      <w:bodyDiv w:val="1"/>
      <w:marLeft w:val="0"/>
      <w:marRight w:val="0"/>
      <w:marTop w:val="0"/>
      <w:marBottom w:val="0"/>
      <w:divBdr>
        <w:top w:val="none" w:sz="0" w:space="0" w:color="auto"/>
        <w:left w:val="none" w:sz="0" w:space="0" w:color="auto"/>
        <w:bottom w:val="none" w:sz="0" w:space="0" w:color="auto"/>
        <w:right w:val="none" w:sz="0" w:space="0" w:color="auto"/>
      </w:divBdr>
      <w:divsChild>
        <w:div w:id="970281892">
          <w:marLeft w:val="480"/>
          <w:marRight w:val="0"/>
          <w:marTop w:val="0"/>
          <w:marBottom w:val="0"/>
          <w:divBdr>
            <w:top w:val="none" w:sz="0" w:space="0" w:color="auto"/>
            <w:left w:val="none" w:sz="0" w:space="0" w:color="auto"/>
            <w:bottom w:val="none" w:sz="0" w:space="0" w:color="auto"/>
            <w:right w:val="none" w:sz="0" w:space="0" w:color="auto"/>
          </w:divBdr>
        </w:div>
        <w:div w:id="1325356396">
          <w:marLeft w:val="480"/>
          <w:marRight w:val="0"/>
          <w:marTop w:val="0"/>
          <w:marBottom w:val="0"/>
          <w:divBdr>
            <w:top w:val="none" w:sz="0" w:space="0" w:color="auto"/>
            <w:left w:val="none" w:sz="0" w:space="0" w:color="auto"/>
            <w:bottom w:val="none" w:sz="0" w:space="0" w:color="auto"/>
            <w:right w:val="none" w:sz="0" w:space="0" w:color="auto"/>
          </w:divBdr>
        </w:div>
        <w:div w:id="674916637">
          <w:marLeft w:val="480"/>
          <w:marRight w:val="0"/>
          <w:marTop w:val="0"/>
          <w:marBottom w:val="0"/>
          <w:divBdr>
            <w:top w:val="none" w:sz="0" w:space="0" w:color="auto"/>
            <w:left w:val="none" w:sz="0" w:space="0" w:color="auto"/>
            <w:bottom w:val="none" w:sz="0" w:space="0" w:color="auto"/>
            <w:right w:val="none" w:sz="0" w:space="0" w:color="auto"/>
          </w:divBdr>
        </w:div>
        <w:div w:id="732775389">
          <w:marLeft w:val="480"/>
          <w:marRight w:val="0"/>
          <w:marTop w:val="0"/>
          <w:marBottom w:val="0"/>
          <w:divBdr>
            <w:top w:val="none" w:sz="0" w:space="0" w:color="auto"/>
            <w:left w:val="none" w:sz="0" w:space="0" w:color="auto"/>
            <w:bottom w:val="none" w:sz="0" w:space="0" w:color="auto"/>
            <w:right w:val="none" w:sz="0" w:space="0" w:color="auto"/>
          </w:divBdr>
        </w:div>
        <w:div w:id="592977634">
          <w:marLeft w:val="480"/>
          <w:marRight w:val="0"/>
          <w:marTop w:val="0"/>
          <w:marBottom w:val="0"/>
          <w:divBdr>
            <w:top w:val="none" w:sz="0" w:space="0" w:color="auto"/>
            <w:left w:val="none" w:sz="0" w:space="0" w:color="auto"/>
            <w:bottom w:val="none" w:sz="0" w:space="0" w:color="auto"/>
            <w:right w:val="none" w:sz="0" w:space="0" w:color="auto"/>
          </w:divBdr>
        </w:div>
        <w:div w:id="1272085672">
          <w:marLeft w:val="480"/>
          <w:marRight w:val="0"/>
          <w:marTop w:val="0"/>
          <w:marBottom w:val="0"/>
          <w:divBdr>
            <w:top w:val="none" w:sz="0" w:space="0" w:color="auto"/>
            <w:left w:val="none" w:sz="0" w:space="0" w:color="auto"/>
            <w:bottom w:val="none" w:sz="0" w:space="0" w:color="auto"/>
            <w:right w:val="none" w:sz="0" w:space="0" w:color="auto"/>
          </w:divBdr>
        </w:div>
        <w:div w:id="1593930002">
          <w:marLeft w:val="480"/>
          <w:marRight w:val="0"/>
          <w:marTop w:val="0"/>
          <w:marBottom w:val="0"/>
          <w:divBdr>
            <w:top w:val="none" w:sz="0" w:space="0" w:color="auto"/>
            <w:left w:val="none" w:sz="0" w:space="0" w:color="auto"/>
            <w:bottom w:val="none" w:sz="0" w:space="0" w:color="auto"/>
            <w:right w:val="none" w:sz="0" w:space="0" w:color="auto"/>
          </w:divBdr>
        </w:div>
        <w:div w:id="1581481960">
          <w:marLeft w:val="480"/>
          <w:marRight w:val="0"/>
          <w:marTop w:val="0"/>
          <w:marBottom w:val="0"/>
          <w:divBdr>
            <w:top w:val="none" w:sz="0" w:space="0" w:color="auto"/>
            <w:left w:val="none" w:sz="0" w:space="0" w:color="auto"/>
            <w:bottom w:val="none" w:sz="0" w:space="0" w:color="auto"/>
            <w:right w:val="none" w:sz="0" w:space="0" w:color="auto"/>
          </w:divBdr>
        </w:div>
        <w:div w:id="644087961">
          <w:marLeft w:val="480"/>
          <w:marRight w:val="0"/>
          <w:marTop w:val="0"/>
          <w:marBottom w:val="0"/>
          <w:divBdr>
            <w:top w:val="none" w:sz="0" w:space="0" w:color="auto"/>
            <w:left w:val="none" w:sz="0" w:space="0" w:color="auto"/>
            <w:bottom w:val="none" w:sz="0" w:space="0" w:color="auto"/>
            <w:right w:val="none" w:sz="0" w:space="0" w:color="auto"/>
          </w:divBdr>
        </w:div>
        <w:div w:id="1874688550">
          <w:marLeft w:val="480"/>
          <w:marRight w:val="0"/>
          <w:marTop w:val="0"/>
          <w:marBottom w:val="0"/>
          <w:divBdr>
            <w:top w:val="none" w:sz="0" w:space="0" w:color="auto"/>
            <w:left w:val="none" w:sz="0" w:space="0" w:color="auto"/>
            <w:bottom w:val="none" w:sz="0" w:space="0" w:color="auto"/>
            <w:right w:val="none" w:sz="0" w:space="0" w:color="auto"/>
          </w:divBdr>
        </w:div>
        <w:div w:id="1110859228">
          <w:marLeft w:val="480"/>
          <w:marRight w:val="0"/>
          <w:marTop w:val="0"/>
          <w:marBottom w:val="0"/>
          <w:divBdr>
            <w:top w:val="none" w:sz="0" w:space="0" w:color="auto"/>
            <w:left w:val="none" w:sz="0" w:space="0" w:color="auto"/>
            <w:bottom w:val="none" w:sz="0" w:space="0" w:color="auto"/>
            <w:right w:val="none" w:sz="0" w:space="0" w:color="auto"/>
          </w:divBdr>
        </w:div>
        <w:div w:id="1489206704">
          <w:marLeft w:val="480"/>
          <w:marRight w:val="0"/>
          <w:marTop w:val="0"/>
          <w:marBottom w:val="0"/>
          <w:divBdr>
            <w:top w:val="none" w:sz="0" w:space="0" w:color="auto"/>
            <w:left w:val="none" w:sz="0" w:space="0" w:color="auto"/>
            <w:bottom w:val="none" w:sz="0" w:space="0" w:color="auto"/>
            <w:right w:val="none" w:sz="0" w:space="0" w:color="auto"/>
          </w:divBdr>
        </w:div>
        <w:div w:id="22748456">
          <w:marLeft w:val="480"/>
          <w:marRight w:val="0"/>
          <w:marTop w:val="0"/>
          <w:marBottom w:val="0"/>
          <w:divBdr>
            <w:top w:val="none" w:sz="0" w:space="0" w:color="auto"/>
            <w:left w:val="none" w:sz="0" w:space="0" w:color="auto"/>
            <w:bottom w:val="none" w:sz="0" w:space="0" w:color="auto"/>
            <w:right w:val="none" w:sz="0" w:space="0" w:color="auto"/>
          </w:divBdr>
        </w:div>
      </w:divsChild>
    </w:div>
    <w:div w:id="521212343">
      <w:bodyDiv w:val="1"/>
      <w:marLeft w:val="0"/>
      <w:marRight w:val="0"/>
      <w:marTop w:val="0"/>
      <w:marBottom w:val="0"/>
      <w:divBdr>
        <w:top w:val="none" w:sz="0" w:space="0" w:color="auto"/>
        <w:left w:val="none" w:sz="0" w:space="0" w:color="auto"/>
        <w:bottom w:val="none" w:sz="0" w:space="0" w:color="auto"/>
        <w:right w:val="none" w:sz="0" w:space="0" w:color="auto"/>
      </w:divBdr>
      <w:divsChild>
        <w:div w:id="1246303847">
          <w:marLeft w:val="480"/>
          <w:marRight w:val="0"/>
          <w:marTop w:val="0"/>
          <w:marBottom w:val="0"/>
          <w:divBdr>
            <w:top w:val="none" w:sz="0" w:space="0" w:color="auto"/>
            <w:left w:val="none" w:sz="0" w:space="0" w:color="auto"/>
            <w:bottom w:val="none" w:sz="0" w:space="0" w:color="auto"/>
            <w:right w:val="none" w:sz="0" w:space="0" w:color="auto"/>
          </w:divBdr>
        </w:div>
        <w:div w:id="2061590298">
          <w:marLeft w:val="480"/>
          <w:marRight w:val="0"/>
          <w:marTop w:val="0"/>
          <w:marBottom w:val="0"/>
          <w:divBdr>
            <w:top w:val="none" w:sz="0" w:space="0" w:color="auto"/>
            <w:left w:val="none" w:sz="0" w:space="0" w:color="auto"/>
            <w:bottom w:val="none" w:sz="0" w:space="0" w:color="auto"/>
            <w:right w:val="none" w:sz="0" w:space="0" w:color="auto"/>
          </w:divBdr>
        </w:div>
        <w:div w:id="43875696">
          <w:marLeft w:val="480"/>
          <w:marRight w:val="0"/>
          <w:marTop w:val="0"/>
          <w:marBottom w:val="0"/>
          <w:divBdr>
            <w:top w:val="none" w:sz="0" w:space="0" w:color="auto"/>
            <w:left w:val="none" w:sz="0" w:space="0" w:color="auto"/>
            <w:bottom w:val="none" w:sz="0" w:space="0" w:color="auto"/>
            <w:right w:val="none" w:sz="0" w:space="0" w:color="auto"/>
          </w:divBdr>
        </w:div>
        <w:div w:id="1407921626">
          <w:marLeft w:val="480"/>
          <w:marRight w:val="0"/>
          <w:marTop w:val="0"/>
          <w:marBottom w:val="0"/>
          <w:divBdr>
            <w:top w:val="none" w:sz="0" w:space="0" w:color="auto"/>
            <w:left w:val="none" w:sz="0" w:space="0" w:color="auto"/>
            <w:bottom w:val="none" w:sz="0" w:space="0" w:color="auto"/>
            <w:right w:val="none" w:sz="0" w:space="0" w:color="auto"/>
          </w:divBdr>
        </w:div>
        <w:div w:id="340474586">
          <w:marLeft w:val="480"/>
          <w:marRight w:val="0"/>
          <w:marTop w:val="0"/>
          <w:marBottom w:val="0"/>
          <w:divBdr>
            <w:top w:val="none" w:sz="0" w:space="0" w:color="auto"/>
            <w:left w:val="none" w:sz="0" w:space="0" w:color="auto"/>
            <w:bottom w:val="none" w:sz="0" w:space="0" w:color="auto"/>
            <w:right w:val="none" w:sz="0" w:space="0" w:color="auto"/>
          </w:divBdr>
        </w:div>
        <w:div w:id="1193499228">
          <w:marLeft w:val="480"/>
          <w:marRight w:val="0"/>
          <w:marTop w:val="0"/>
          <w:marBottom w:val="0"/>
          <w:divBdr>
            <w:top w:val="none" w:sz="0" w:space="0" w:color="auto"/>
            <w:left w:val="none" w:sz="0" w:space="0" w:color="auto"/>
            <w:bottom w:val="none" w:sz="0" w:space="0" w:color="auto"/>
            <w:right w:val="none" w:sz="0" w:space="0" w:color="auto"/>
          </w:divBdr>
        </w:div>
        <w:div w:id="657655195">
          <w:marLeft w:val="480"/>
          <w:marRight w:val="0"/>
          <w:marTop w:val="0"/>
          <w:marBottom w:val="0"/>
          <w:divBdr>
            <w:top w:val="none" w:sz="0" w:space="0" w:color="auto"/>
            <w:left w:val="none" w:sz="0" w:space="0" w:color="auto"/>
            <w:bottom w:val="none" w:sz="0" w:space="0" w:color="auto"/>
            <w:right w:val="none" w:sz="0" w:space="0" w:color="auto"/>
          </w:divBdr>
        </w:div>
      </w:divsChild>
    </w:div>
    <w:div w:id="546918558">
      <w:bodyDiv w:val="1"/>
      <w:marLeft w:val="0"/>
      <w:marRight w:val="0"/>
      <w:marTop w:val="0"/>
      <w:marBottom w:val="0"/>
      <w:divBdr>
        <w:top w:val="none" w:sz="0" w:space="0" w:color="auto"/>
        <w:left w:val="none" w:sz="0" w:space="0" w:color="auto"/>
        <w:bottom w:val="none" w:sz="0" w:space="0" w:color="auto"/>
        <w:right w:val="none" w:sz="0" w:space="0" w:color="auto"/>
      </w:divBdr>
      <w:divsChild>
        <w:div w:id="32072547">
          <w:marLeft w:val="480"/>
          <w:marRight w:val="0"/>
          <w:marTop w:val="0"/>
          <w:marBottom w:val="0"/>
          <w:divBdr>
            <w:top w:val="none" w:sz="0" w:space="0" w:color="auto"/>
            <w:left w:val="none" w:sz="0" w:space="0" w:color="auto"/>
            <w:bottom w:val="none" w:sz="0" w:space="0" w:color="auto"/>
            <w:right w:val="none" w:sz="0" w:space="0" w:color="auto"/>
          </w:divBdr>
        </w:div>
        <w:div w:id="1873028072">
          <w:marLeft w:val="480"/>
          <w:marRight w:val="0"/>
          <w:marTop w:val="0"/>
          <w:marBottom w:val="0"/>
          <w:divBdr>
            <w:top w:val="none" w:sz="0" w:space="0" w:color="auto"/>
            <w:left w:val="none" w:sz="0" w:space="0" w:color="auto"/>
            <w:bottom w:val="none" w:sz="0" w:space="0" w:color="auto"/>
            <w:right w:val="none" w:sz="0" w:space="0" w:color="auto"/>
          </w:divBdr>
        </w:div>
      </w:divsChild>
    </w:div>
    <w:div w:id="605579715">
      <w:bodyDiv w:val="1"/>
      <w:marLeft w:val="0"/>
      <w:marRight w:val="0"/>
      <w:marTop w:val="0"/>
      <w:marBottom w:val="0"/>
      <w:divBdr>
        <w:top w:val="none" w:sz="0" w:space="0" w:color="auto"/>
        <w:left w:val="none" w:sz="0" w:space="0" w:color="auto"/>
        <w:bottom w:val="none" w:sz="0" w:space="0" w:color="auto"/>
        <w:right w:val="none" w:sz="0" w:space="0" w:color="auto"/>
      </w:divBdr>
      <w:divsChild>
        <w:div w:id="1969316217">
          <w:marLeft w:val="480"/>
          <w:marRight w:val="0"/>
          <w:marTop w:val="0"/>
          <w:marBottom w:val="0"/>
          <w:divBdr>
            <w:top w:val="none" w:sz="0" w:space="0" w:color="auto"/>
            <w:left w:val="none" w:sz="0" w:space="0" w:color="auto"/>
            <w:bottom w:val="none" w:sz="0" w:space="0" w:color="auto"/>
            <w:right w:val="none" w:sz="0" w:space="0" w:color="auto"/>
          </w:divBdr>
        </w:div>
        <w:div w:id="1922787100">
          <w:marLeft w:val="480"/>
          <w:marRight w:val="0"/>
          <w:marTop w:val="0"/>
          <w:marBottom w:val="0"/>
          <w:divBdr>
            <w:top w:val="none" w:sz="0" w:space="0" w:color="auto"/>
            <w:left w:val="none" w:sz="0" w:space="0" w:color="auto"/>
            <w:bottom w:val="none" w:sz="0" w:space="0" w:color="auto"/>
            <w:right w:val="none" w:sz="0" w:space="0" w:color="auto"/>
          </w:divBdr>
        </w:div>
        <w:div w:id="1320041930">
          <w:marLeft w:val="480"/>
          <w:marRight w:val="0"/>
          <w:marTop w:val="0"/>
          <w:marBottom w:val="0"/>
          <w:divBdr>
            <w:top w:val="none" w:sz="0" w:space="0" w:color="auto"/>
            <w:left w:val="none" w:sz="0" w:space="0" w:color="auto"/>
            <w:bottom w:val="none" w:sz="0" w:space="0" w:color="auto"/>
            <w:right w:val="none" w:sz="0" w:space="0" w:color="auto"/>
          </w:divBdr>
        </w:div>
        <w:div w:id="15157217">
          <w:marLeft w:val="480"/>
          <w:marRight w:val="0"/>
          <w:marTop w:val="0"/>
          <w:marBottom w:val="0"/>
          <w:divBdr>
            <w:top w:val="none" w:sz="0" w:space="0" w:color="auto"/>
            <w:left w:val="none" w:sz="0" w:space="0" w:color="auto"/>
            <w:bottom w:val="none" w:sz="0" w:space="0" w:color="auto"/>
            <w:right w:val="none" w:sz="0" w:space="0" w:color="auto"/>
          </w:divBdr>
        </w:div>
        <w:div w:id="349068120">
          <w:marLeft w:val="480"/>
          <w:marRight w:val="0"/>
          <w:marTop w:val="0"/>
          <w:marBottom w:val="0"/>
          <w:divBdr>
            <w:top w:val="none" w:sz="0" w:space="0" w:color="auto"/>
            <w:left w:val="none" w:sz="0" w:space="0" w:color="auto"/>
            <w:bottom w:val="none" w:sz="0" w:space="0" w:color="auto"/>
            <w:right w:val="none" w:sz="0" w:space="0" w:color="auto"/>
          </w:divBdr>
        </w:div>
        <w:div w:id="1588461885">
          <w:marLeft w:val="480"/>
          <w:marRight w:val="0"/>
          <w:marTop w:val="0"/>
          <w:marBottom w:val="0"/>
          <w:divBdr>
            <w:top w:val="none" w:sz="0" w:space="0" w:color="auto"/>
            <w:left w:val="none" w:sz="0" w:space="0" w:color="auto"/>
            <w:bottom w:val="none" w:sz="0" w:space="0" w:color="auto"/>
            <w:right w:val="none" w:sz="0" w:space="0" w:color="auto"/>
          </w:divBdr>
        </w:div>
        <w:div w:id="217130361">
          <w:marLeft w:val="480"/>
          <w:marRight w:val="0"/>
          <w:marTop w:val="0"/>
          <w:marBottom w:val="0"/>
          <w:divBdr>
            <w:top w:val="none" w:sz="0" w:space="0" w:color="auto"/>
            <w:left w:val="none" w:sz="0" w:space="0" w:color="auto"/>
            <w:bottom w:val="none" w:sz="0" w:space="0" w:color="auto"/>
            <w:right w:val="none" w:sz="0" w:space="0" w:color="auto"/>
          </w:divBdr>
        </w:div>
        <w:div w:id="543101522">
          <w:marLeft w:val="480"/>
          <w:marRight w:val="0"/>
          <w:marTop w:val="0"/>
          <w:marBottom w:val="0"/>
          <w:divBdr>
            <w:top w:val="none" w:sz="0" w:space="0" w:color="auto"/>
            <w:left w:val="none" w:sz="0" w:space="0" w:color="auto"/>
            <w:bottom w:val="none" w:sz="0" w:space="0" w:color="auto"/>
            <w:right w:val="none" w:sz="0" w:space="0" w:color="auto"/>
          </w:divBdr>
        </w:div>
        <w:div w:id="1728340243">
          <w:marLeft w:val="480"/>
          <w:marRight w:val="0"/>
          <w:marTop w:val="0"/>
          <w:marBottom w:val="0"/>
          <w:divBdr>
            <w:top w:val="none" w:sz="0" w:space="0" w:color="auto"/>
            <w:left w:val="none" w:sz="0" w:space="0" w:color="auto"/>
            <w:bottom w:val="none" w:sz="0" w:space="0" w:color="auto"/>
            <w:right w:val="none" w:sz="0" w:space="0" w:color="auto"/>
          </w:divBdr>
        </w:div>
        <w:div w:id="833453706">
          <w:marLeft w:val="480"/>
          <w:marRight w:val="0"/>
          <w:marTop w:val="0"/>
          <w:marBottom w:val="0"/>
          <w:divBdr>
            <w:top w:val="none" w:sz="0" w:space="0" w:color="auto"/>
            <w:left w:val="none" w:sz="0" w:space="0" w:color="auto"/>
            <w:bottom w:val="none" w:sz="0" w:space="0" w:color="auto"/>
            <w:right w:val="none" w:sz="0" w:space="0" w:color="auto"/>
          </w:divBdr>
        </w:div>
        <w:div w:id="451173714">
          <w:marLeft w:val="480"/>
          <w:marRight w:val="0"/>
          <w:marTop w:val="0"/>
          <w:marBottom w:val="0"/>
          <w:divBdr>
            <w:top w:val="none" w:sz="0" w:space="0" w:color="auto"/>
            <w:left w:val="none" w:sz="0" w:space="0" w:color="auto"/>
            <w:bottom w:val="none" w:sz="0" w:space="0" w:color="auto"/>
            <w:right w:val="none" w:sz="0" w:space="0" w:color="auto"/>
          </w:divBdr>
        </w:div>
      </w:divsChild>
    </w:div>
    <w:div w:id="628438001">
      <w:bodyDiv w:val="1"/>
      <w:marLeft w:val="0"/>
      <w:marRight w:val="0"/>
      <w:marTop w:val="0"/>
      <w:marBottom w:val="0"/>
      <w:divBdr>
        <w:top w:val="none" w:sz="0" w:space="0" w:color="auto"/>
        <w:left w:val="none" w:sz="0" w:space="0" w:color="auto"/>
        <w:bottom w:val="none" w:sz="0" w:space="0" w:color="auto"/>
        <w:right w:val="none" w:sz="0" w:space="0" w:color="auto"/>
      </w:divBdr>
    </w:div>
    <w:div w:id="697512452">
      <w:bodyDiv w:val="1"/>
      <w:marLeft w:val="0"/>
      <w:marRight w:val="0"/>
      <w:marTop w:val="0"/>
      <w:marBottom w:val="0"/>
      <w:divBdr>
        <w:top w:val="none" w:sz="0" w:space="0" w:color="auto"/>
        <w:left w:val="none" w:sz="0" w:space="0" w:color="auto"/>
        <w:bottom w:val="none" w:sz="0" w:space="0" w:color="auto"/>
        <w:right w:val="none" w:sz="0" w:space="0" w:color="auto"/>
      </w:divBdr>
      <w:divsChild>
        <w:div w:id="771242505">
          <w:marLeft w:val="480"/>
          <w:marRight w:val="0"/>
          <w:marTop w:val="0"/>
          <w:marBottom w:val="0"/>
          <w:divBdr>
            <w:top w:val="none" w:sz="0" w:space="0" w:color="auto"/>
            <w:left w:val="none" w:sz="0" w:space="0" w:color="auto"/>
            <w:bottom w:val="none" w:sz="0" w:space="0" w:color="auto"/>
            <w:right w:val="none" w:sz="0" w:space="0" w:color="auto"/>
          </w:divBdr>
        </w:div>
        <w:div w:id="273169468">
          <w:marLeft w:val="480"/>
          <w:marRight w:val="0"/>
          <w:marTop w:val="0"/>
          <w:marBottom w:val="0"/>
          <w:divBdr>
            <w:top w:val="none" w:sz="0" w:space="0" w:color="auto"/>
            <w:left w:val="none" w:sz="0" w:space="0" w:color="auto"/>
            <w:bottom w:val="none" w:sz="0" w:space="0" w:color="auto"/>
            <w:right w:val="none" w:sz="0" w:space="0" w:color="auto"/>
          </w:divBdr>
        </w:div>
        <w:div w:id="1536579559">
          <w:marLeft w:val="480"/>
          <w:marRight w:val="0"/>
          <w:marTop w:val="0"/>
          <w:marBottom w:val="0"/>
          <w:divBdr>
            <w:top w:val="none" w:sz="0" w:space="0" w:color="auto"/>
            <w:left w:val="none" w:sz="0" w:space="0" w:color="auto"/>
            <w:bottom w:val="none" w:sz="0" w:space="0" w:color="auto"/>
            <w:right w:val="none" w:sz="0" w:space="0" w:color="auto"/>
          </w:divBdr>
        </w:div>
        <w:div w:id="1496917384">
          <w:marLeft w:val="480"/>
          <w:marRight w:val="0"/>
          <w:marTop w:val="0"/>
          <w:marBottom w:val="0"/>
          <w:divBdr>
            <w:top w:val="none" w:sz="0" w:space="0" w:color="auto"/>
            <w:left w:val="none" w:sz="0" w:space="0" w:color="auto"/>
            <w:bottom w:val="none" w:sz="0" w:space="0" w:color="auto"/>
            <w:right w:val="none" w:sz="0" w:space="0" w:color="auto"/>
          </w:divBdr>
        </w:div>
        <w:div w:id="1498375002">
          <w:marLeft w:val="480"/>
          <w:marRight w:val="0"/>
          <w:marTop w:val="0"/>
          <w:marBottom w:val="0"/>
          <w:divBdr>
            <w:top w:val="none" w:sz="0" w:space="0" w:color="auto"/>
            <w:left w:val="none" w:sz="0" w:space="0" w:color="auto"/>
            <w:bottom w:val="none" w:sz="0" w:space="0" w:color="auto"/>
            <w:right w:val="none" w:sz="0" w:space="0" w:color="auto"/>
          </w:divBdr>
        </w:div>
        <w:div w:id="253783093">
          <w:marLeft w:val="480"/>
          <w:marRight w:val="0"/>
          <w:marTop w:val="0"/>
          <w:marBottom w:val="0"/>
          <w:divBdr>
            <w:top w:val="none" w:sz="0" w:space="0" w:color="auto"/>
            <w:left w:val="none" w:sz="0" w:space="0" w:color="auto"/>
            <w:bottom w:val="none" w:sz="0" w:space="0" w:color="auto"/>
            <w:right w:val="none" w:sz="0" w:space="0" w:color="auto"/>
          </w:divBdr>
        </w:div>
        <w:div w:id="1282297117">
          <w:marLeft w:val="480"/>
          <w:marRight w:val="0"/>
          <w:marTop w:val="0"/>
          <w:marBottom w:val="0"/>
          <w:divBdr>
            <w:top w:val="none" w:sz="0" w:space="0" w:color="auto"/>
            <w:left w:val="none" w:sz="0" w:space="0" w:color="auto"/>
            <w:bottom w:val="none" w:sz="0" w:space="0" w:color="auto"/>
            <w:right w:val="none" w:sz="0" w:space="0" w:color="auto"/>
          </w:divBdr>
        </w:div>
        <w:div w:id="2006929605">
          <w:marLeft w:val="480"/>
          <w:marRight w:val="0"/>
          <w:marTop w:val="0"/>
          <w:marBottom w:val="0"/>
          <w:divBdr>
            <w:top w:val="none" w:sz="0" w:space="0" w:color="auto"/>
            <w:left w:val="none" w:sz="0" w:space="0" w:color="auto"/>
            <w:bottom w:val="none" w:sz="0" w:space="0" w:color="auto"/>
            <w:right w:val="none" w:sz="0" w:space="0" w:color="auto"/>
          </w:divBdr>
        </w:div>
        <w:div w:id="1168520507">
          <w:marLeft w:val="480"/>
          <w:marRight w:val="0"/>
          <w:marTop w:val="0"/>
          <w:marBottom w:val="0"/>
          <w:divBdr>
            <w:top w:val="none" w:sz="0" w:space="0" w:color="auto"/>
            <w:left w:val="none" w:sz="0" w:space="0" w:color="auto"/>
            <w:bottom w:val="none" w:sz="0" w:space="0" w:color="auto"/>
            <w:right w:val="none" w:sz="0" w:space="0" w:color="auto"/>
          </w:divBdr>
        </w:div>
        <w:div w:id="1034310395">
          <w:marLeft w:val="480"/>
          <w:marRight w:val="0"/>
          <w:marTop w:val="0"/>
          <w:marBottom w:val="0"/>
          <w:divBdr>
            <w:top w:val="none" w:sz="0" w:space="0" w:color="auto"/>
            <w:left w:val="none" w:sz="0" w:space="0" w:color="auto"/>
            <w:bottom w:val="none" w:sz="0" w:space="0" w:color="auto"/>
            <w:right w:val="none" w:sz="0" w:space="0" w:color="auto"/>
          </w:divBdr>
        </w:div>
        <w:div w:id="343365694">
          <w:marLeft w:val="480"/>
          <w:marRight w:val="0"/>
          <w:marTop w:val="0"/>
          <w:marBottom w:val="0"/>
          <w:divBdr>
            <w:top w:val="none" w:sz="0" w:space="0" w:color="auto"/>
            <w:left w:val="none" w:sz="0" w:space="0" w:color="auto"/>
            <w:bottom w:val="none" w:sz="0" w:space="0" w:color="auto"/>
            <w:right w:val="none" w:sz="0" w:space="0" w:color="auto"/>
          </w:divBdr>
        </w:div>
        <w:div w:id="1907570504">
          <w:marLeft w:val="480"/>
          <w:marRight w:val="0"/>
          <w:marTop w:val="0"/>
          <w:marBottom w:val="0"/>
          <w:divBdr>
            <w:top w:val="none" w:sz="0" w:space="0" w:color="auto"/>
            <w:left w:val="none" w:sz="0" w:space="0" w:color="auto"/>
            <w:bottom w:val="none" w:sz="0" w:space="0" w:color="auto"/>
            <w:right w:val="none" w:sz="0" w:space="0" w:color="auto"/>
          </w:divBdr>
        </w:div>
        <w:div w:id="1663198850">
          <w:marLeft w:val="480"/>
          <w:marRight w:val="0"/>
          <w:marTop w:val="0"/>
          <w:marBottom w:val="0"/>
          <w:divBdr>
            <w:top w:val="none" w:sz="0" w:space="0" w:color="auto"/>
            <w:left w:val="none" w:sz="0" w:space="0" w:color="auto"/>
            <w:bottom w:val="none" w:sz="0" w:space="0" w:color="auto"/>
            <w:right w:val="none" w:sz="0" w:space="0" w:color="auto"/>
          </w:divBdr>
        </w:div>
      </w:divsChild>
    </w:div>
    <w:div w:id="765737230">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825489">
      <w:bodyDiv w:val="1"/>
      <w:marLeft w:val="0"/>
      <w:marRight w:val="0"/>
      <w:marTop w:val="0"/>
      <w:marBottom w:val="0"/>
      <w:divBdr>
        <w:top w:val="none" w:sz="0" w:space="0" w:color="auto"/>
        <w:left w:val="none" w:sz="0" w:space="0" w:color="auto"/>
        <w:bottom w:val="none" w:sz="0" w:space="0" w:color="auto"/>
        <w:right w:val="none" w:sz="0" w:space="0" w:color="auto"/>
      </w:divBdr>
    </w:div>
    <w:div w:id="836459378">
      <w:bodyDiv w:val="1"/>
      <w:marLeft w:val="0"/>
      <w:marRight w:val="0"/>
      <w:marTop w:val="0"/>
      <w:marBottom w:val="0"/>
      <w:divBdr>
        <w:top w:val="none" w:sz="0" w:space="0" w:color="auto"/>
        <w:left w:val="none" w:sz="0" w:space="0" w:color="auto"/>
        <w:bottom w:val="none" w:sz="0" w:space="0" w:color="auto"/>
        <w:right w:val="none" w:sz="0" w:space="0" w:color="auto"/>
      </w:divBdr>
      <w:divsChild>
        <w:div w:id="121926024">
          <w:marLeft w:val="480"/>
          <w:marRight w:val="0"/>
          <w:marTop w:val="0"/>
          <w:marBottom w:val="0"/>
          <w:divBdr>
            <w:top w:val="none" w:sz="0" w:space="0" w:color="auto"/>
            <w:left w:val="none" w:sz="0" w:space="0" w:color="auto"/>
            <w:bottom w:val="none" w:sz="0" w:space="0" w:color="auto"/>
            <w:right w:val="none" w:sz="0" w:space="0" w:color="auto"/>
          </w:divBdr>
        </w:div>
        <w:div w:id="245921844">
          <w:marLeft w:val="480"/>
          <w:marRight w:val="0"/>
          <w:marTop w:val="0"/>
          <w:marBottom w:val="0"/>
          <w:divBdr>
            <w:top w:val="none" w:sz="0" w:space="0" w:color="auto"/>
            <w:left w:val="none" w:sz="0" w:space="0" w:color="auto"/>
            <w:bottom w:val="none" w:sz="0" w:space="0" w:color="auto"/>
            <w:right w:val="none" w:sz="0" w:space="0" w:color="auto"/>
          </w:divBdr>
        </w:div>
        <w:div w:id="456727962">
          <w:marLeft w:val="480"/>
          <w:marRight w:val="0"/>
          <w:marTop w:val="0"/>
          <w:marBottom w:val="0"/>
          <w:divBdr>
            <w:top w:val="none" w:sz="0" w:space="0" w:color="auto"/>
            <w:left w:val="none" w:sz="0" w:space="0" w:color="auto"/>
            <w:bottom w:val="none" w:sz="0" w:space="0" w:color="auto"/>
            <w:right w:val="none" w:sz="0" w:space="0" w:color="auto"/>
          </w:divBdr>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5656023">
      <w:bodyDiv w:val="1"/>
      <w:marLeft w:val="0"/>
      <w:marRight w:val="0"/>
      <w:marTop w:val="0"/>
      <w:marBottom w:val="0"/>
      <w:divBdr>
        <w:top w:val="none" w:sz="0" w:space="0" w:color="auto"/>
        <w:left w:val="none" w:sz="0" w:space="0" w:color="auto"/>
        <w:bottom w:val="none" w:sz="0" w:space="0" w:color="auto"/>
        <w:right w:val="none" w:sz="0" w:space="0" w:color="auto"/>
      </w:divBdr>
      <w:divsChild>
        <w:div w:id="2136679217">
          <w:marLeft w:val="480"/>
          <w:marRight w:val="0"/>
          <w:marTop w:val="0"/>
          <w:marBottom w:val="0"/>
          <w:divBdr>
            <w:top w:val="none" w:sz="0" w:space="0" w:color="auto"/>
            <w:left w:val="none" w:sz="0" w:space="0" w:color="auto"/>
            <w:bottom w:val="none" w:sz="0" w:space="0" w:color="auto"/>
            <w:right w:val="none" w:sz="0" w:space="0" w:color="auto"/>
          </w:divBdr>
        </w:div>
        <w:div w:id="279338230">
          <w:marLeft w:val="480"/>
          <w:marRight w:val="0"/>
          <w:marTop w:val="0"/>
          <w:marBottom w:val="0"/>
          <w:divBdr>
            <w:top w:val="none" w:sz="0" w:space="0" w:color="auto"/>
            <w:left w:val="none" w:sz="0" w:space="0" w:color="auto"/>
            <w:bottom w:val="none" w:sz="0" w:space="0" w:color="auto"/>
            <w:right w:val="none" w:sz="0" w:space="0" w:color="auto"/>
          </w:divBdr>
        </w:div>
        <w:div w:id="1969437546">
          <w:marLeft w:val="480"/>
          <w:marRight w:val="0"/>
          <w:marTop w:val="0"/>
          <w:marBottom w:val="0"/>
          <w:divBdr>
            <w:top w:val="none" w:sz="0" w:space="0" w:color="auto"/>
            <w:left w:val="none" w:sz="0" w:space="0" w:color="auto"/>
            <w:bottom w:val="none" w:sz="0" w:space="0" w:color="auto"/>
            <w:right w:val="none" w:sz="0" w:space="0" w:color="auto"/>
          </w:divBdr>
        </w:div>
        <w:div w:id="1716348302">
          <w:marLeft w:val="480"/>
          <w:marRight w:val="0"/>
          <w:marTop w:val="0"/>
          <w:marBottom w:val="0"/>
          <w:divBdr>
            <w:top w:val="none" w:sz="0" w:space="0" w:color="auto"/>
            <w:left w:val="none" w:sz="0" w:space="0" w:color="auto"/>
            <w:bottom w:val="none" w:sz="0" w:space="0" w:color="auto"/>
            <w:right w:val="none" w:sz="0" w:space="0" w:color="auto"/>
          </w:divBdr>
        </w:div>
        <w:div w:id="576481451">
          <w:marLeft w:val="480"/>
          <w:marRight w:val="0"/>
          <w:marTop w:val="0"/>
          <w:marBottom w:val="0"/>
          <w:divBdr>
            <w:top w:val="none" w:sz="0" w:space="0" w:color="auto"/>
            <w:left w:val="none" w:sz="0" w:space="0" w:color="auto"/>
            <w:bottom w:val="none" w:sz="0" w:space="0" w:color="auto"/>
            <w:right w:val="none" w:sz="0" w:space="0" w:color="auto"/>
          </w:divBdr>
        </w:div>
        <w:div w:id="174269628">
          <w:marLeft w:val="480"/>
          <w:marRight w:val="0"/>
          <w:marTop w:val="0"/>
          <w:marBottom w:val="0"/>
          <w:divBdr>
            <w:top w:val="none" w:sz="0" w:space="0" w:color="auto"/>
            <w:left w:val="none" w:sz="0" w:space="0" w:color="auto"/>
            <w:bottom w:val="none" w:sz="0" w:space="0" w:color="auto"/>
            <w:right w:val="none" w:sz="0" w:space="0" w:color="auto"/>
          </w:divBdr>
        </w:div>
        <w:div w:id="1147934565">
          <w:marLeft w:val="480"/>
          <w:marRight w:val="0"/>
          <w:marTop w:val="0"/>
          <w:marBottom w:val="0"/>
          <w:divBdr>
            <w:top w:val="none" w:sz="0" w:space="0" w:color="auto"/>
            <w:left w:val="none" w:sz="0" w:space="0" w:color="auto"/>
            <w:bottom w:val="none" w:sz="0" w:space="0" w:color="auto"/>
            <w:right w:val="none" w:sz="0" w:space="0" w:color="auto"/>
          </w:divBdr>
        </w:div>
        <w:div w:id="157501558">
          <w:marLeft w:val="480"/>
          <w:marRight w:val="0"/>
          <w:marTop w:val="0"/>
          <w:marBottom w:val="0"/>
          <w:divBdr>
            <w:top w:val="none" w:sz="0" w:space="0" w:color="auto"/>
            <w:left w:val="none" w:sz="0" w:space="0" w:color="auto"/>
            <w:bottom w:val="none" w:sz="0" w:space="0" w:color="auto"/>
            <w:right w:val="none" w:sz="0" w:space="0" w:color="auto"/>
          </w:divBdr>
        </w:div>
        <w:div w:id="1699164004">
          <w:marLeft w:val="480"/>
          <w:marRight w:val="0"/>
          <w:marTop w:val="0"/>
          <w:marBottom w:val="0"/>
          <w:divBdr>
            <w:top w:val="none" w:sz="0" w:space="0" w:color="auto"/>
            <w:left w:val="none" w:sz="0" w:space="0" w:color="auto"/>
            <w:bottom w:val="none" w:sz="0" w:space="0" w:color="auto"/>
            <w:right w:val="none" w:sz="0" w:space="0" w:color="auto"/>
          </w:divBdr>
        </w:div>
        <w:div w:id="598177626">
          <w:marLeft w:val="480"/>
          <w:marRight w:val="0"/>
          <w:marTop w:val="0"/>
          <w:marBottom w:val="0"/>
          <w:divBdr>
            <w:top w:val="none" w:sz="0" w:space="0" w:color="auto"/>
            <w:left w:val="none" w:sz="0" w:space="0" w:color="auto"/>
            <w:bottom w:val="none" w:sz="0" w:space="0" w:color="auto"/>
            <w:right w:val="none" w:sz="0" w:space="0" w:color="auto"/>
          </w:divBdr>
        </w:div>
        <w:div w:id="1966495595">
          <w:marLeft w:val="480"/>
          <w:marRight w:val="0"/>
          <w:marTop w:val="0"/>
          <w:marBottom w:val="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80327">
      <w:bodyDiv w:val="1"/>
      <w:marLeft w:val="0"/>
      <w:marRight w:val="0"/>
      <w:marTop w:val="0"/>
      <w:marBottom w:val="0"/>
      <w:divBdr>
        <w:top w:val="none" w:sz="0" w:space="0" w:color="auto"/>
        <w:left w:val="none" w:sz="0" w:space="0" w:color="auto"/>
        <w:bottom w:val="none" w:sz="0" w:space="0" w:color="auto"/>
        <w:right w:val="none" w:sz="0" w:space="0" w:color="auto"/>
      </w:divBdr>
    </w:div>
    <w:div w:id="1037047043">
      <w:bodyDiv w:val="1"/>
      <w:marLeft w:val="0"/>
      <w:marRight w:val="0"/>
      <w:marTop w:val="0"/>
      <w:marBottom w:val="0"/>
      <w:divBdr>
        <w:top w:val="none" w:sz="0" w:space="0" w:color="auto"/>
        <w:left w:val="none" w:sz="0" w:space="0" w:color="auto"/>
        <w:bottom w:val="none" w:sz="0" w:space="0" w:color="auto"/>
        <w:right w:val="none" w:sz="0" w:space="0" w:color="auto"/>
      </w:divBdr>
      <w:divsChild>
        <w:div w:id="961880094">
          <w:marLeft w:val="480"/>
          <w:marRight w:val="0"/>
          <w:marTop w:val="0"/>
          <w:marBottom w:val="0"/>
          <w:divBdr>
            <w:top w:val="none" w:sz="0" w:space="0" w:color="auto"/>
            <w:left w:val="none" w:sz="0" w:space="0" w:color="auto"/>
            <w:bottom w:val="none" w:sz="0" w:space="0" w:color="auto"/>
            <w:right w:val="none" w:sz="0" w:space="0" w:color="auto"/>
          </w:divBdr>
        </w:div>
        <w:div w:id="501744044">
          <w:marLeft w:val="480"/>
          <w:marRight w:val="0"/>
          <w:marTop w:val="0"/>
          <w:marBottom w:val="0"/>
          <w:divBdr>
            <w:top w:val="none" w:sz="0" w:space="0" w:color="auto"/>
            <w:left w:val="none" w:sz="0" w:space="0" w:color="auto"/>
            <w:bottom w:val="none" w:sz="0" w:space="0" w:color="auto"/>
            <w:right w:val="none" w:sz="0" w:space="0" w:color="auto"/>
          </w:divBdr>
        </w:div>
        <w:div w:id="658654958">
          <w:marLeft w:val="480"/>
          <w:marRight w:val="0"/>
          <w:marTop w:val="0"/>
          <w:marBottom w:val="0"/>
          <w:divBdr>
            <w:top w:val="none" w:sz="0" w:space="0" w:color="auto"/>
            <w:left w:val="none" w:sz="0" w:space="0" w:color="auto"/>
            <w:bottom w:val="none" w:sz="0" w:space="0" w:color="auto"/>
            <w:right w:val="none" w:sz="0" w:space="0" w:color="auto"/>
          </w:divBdr>
        </w:div>
      </w:divsChild>
    </w:div>
    <w:div w:id="1120999207">
      <w:bodyDiv w:val="1"/>
      <w:marLeft w:val="0"/>
      <w:marRight w:val="0"/>
      <w:marTop w:val="0"/>
      <w:marBottom w:val="0"/>
      <w:divBdr>
        <w:top w:val="none" w:sz="0" w:space="0" w:color="auto"/>
        <w:left w:val="none" w:sz="0" w:space="0" w:color="auto"/>
        <w:bottom w:val="none" w:sz="0" w:space="0" w:color="auto"/>
        <w:right w:val="none" w:sz="0" w:space="0" w:color="auto"/>
      </w:divBdr>
    </w:div>
    <w:div w:id="1164012863">
      <w:bodyDiv w:val="1"/>
      <w:marLeft w:val="0"/>
      <w:marRight w:val="0"/>
      <w:marTop w:val="0"/>
      <w:marBottom w:val="0"/>
      <w:divBdr>
        <w:top w:val="none" w:sz="0" w:space="0" w:color="auto"/>
        <w:left w:val="none" w:sz="0" w:space="0" w:color="auto"/>
        <w:bottom w:val="none" w:sz="0" w:space="0" w:color="auto"/>
        <w:right w:val="none" w:sz="0" w:space="0" w:color="auto"/>
      </w:divBdr>
      <w:divsChild>
        <w:div w:id="1705597238">
          <w:marLeft w:val="480"/>
          <w:marRight w:val="0"/>
          <w:marTop w:val="0"/>
          <w:marBottom w:val="0"/>
          <w:divBdr>
            <w:top w:val="none" w:sz="0" w:space="0" w:color="auto"/>
            <w:left w:val="none" w:sz="0" w:space="0" w:color="auto"/>
            <w:bottom w:val="none" w:sz="0" w:space="0" w:color="auto"/>
            <w:right w:val="none" w:sz="0" w:space="0" w:color="auto"/>
          </w:divBdr>
        </w:div>
        <w:div w:id="2117015572">
          <w:marLeft w:val="480"/>
          <w:marRight w:val="0"/>
          <w:marTop w:val="0"/>
          <w:marBottom w:val="0"/>
          <w:divBdr>
            <w:top w:val="none" w:sz="0" w:space="0" w:color="auto"/>
            <w:left w:val="none" w:sz="0" w:space="0" w:color="auto"/>
            <w:bottom w:val="none" w:sz="0" w:space="0" w:color="auto"/>
            <w:right w:val="none" w:sz="0" w:space="0" w:color="auto"/>
          </w:divBdr>
        </w:div>
        <w:div w:id="1124888406">
          <w:marLeft w:val="480"/>
          <w:marRight w:val="0"/>
          <w:marTop w:val="0"/>
          <w:marBottom w:val="0"/>
          <w:divBdr>
            <w:top w:val="none" w:sz="0" w:space="0" w:color="auto"/>
            <w:left w:val="none" w:sz="0" w:space="0" w:color="auto"/>
            <w:bottom w:val="none" w:sz="0" w:space="0" w:color="auto"/>
            <w:right w:val="none" w:sz="0" w:space="0" w:color="auto"/>
          </w:divBdr>
        </w:div>
        <w:div w:id="1574469426">
          <w:marLeft w:val="480"/>
          <w:marRight w:val="0"/>
          <w:marTop w:val="0"/>
          <w:marBottom w:val="0"/>
          <w:divBdr>
            <w:top w:val="none" w:sz="0" w:space="0" w:color="auto"/>
            <w:left w:val="none" w:sz="0" w:space="0" w:color="auto"/>
            <w:bottom w:val="none" w:sz="0" w:space="0" w:color="auto"/>
            <w:right w:val="none" w:sz="0" w:space="0" w:color="auto"/>
          </w:divBdr>
        </w:div>
        <w:div w:id="1016884362">
          <w:marLeft w:val="480"/>
          <w:marRight w:val="0"/>
          <w:marTop w:val="0"/>
          <w:marBottom w:val="0"/>
          <w:divBdr>
            <w:top w:val="none" w:sz="0" w:space="0" w:color="auto"/>
            <w:left w:val="none" w:sz="0" w:space="0" w:color="auto"/>
            <w:bottom w:val="none" w:sz="0" w:space="0" w:color="auto"/>
            <w:right w:val="none" w:sz="0" w:space="0" w:color="auto"/>
          </w:divBdr>
        </w:div>
        <w:div w:id="412581089">
          <w:marLeft w:val="480"/>
          <w:marRight w:val="0"/>
          <w:marTop w:val="0"/>
          <w:marBottom w:val="0"/>
          <w:divBdr>
            <w:top w:val="none" w:sz="0" w:space="0" w:color="auto"/>
            <w:left w:val="none" w:sz="0" w:space="0" w:color="auto"/>
            <w:bottom w:val="none" w:sz="0" w:space="0" w:color="auto"/>
            <w:right w:val="none" w:sz="0" w:space="0" w:color="auto"/>
          </w:divBdr>
        </w:div>
        <w:div w:id="1648168156">
          <w:marLeft w:val="480"/>
          <w:marRight w:val="0"/>
          <w:marTop w:val="0"/>
          <w:marBottom w:val="0"/>
          <w:divBdr>
            <w:top w:val="none" w:sz="0" w:space="0" w:color="auto"/>
            <w:left w:val="none" w:sz="0" w:space="0" w:color="auto"/>
            <w:bottom w:val="none" w:sz="0" w:space="0" w:color="auto"/>
            <w:right w:val="none" w:sz="0" w:space="0" w:color="auto"/>
          </w:divBdr>
        </w:div>
        <w:div w:id="1450473674">
          <w:marLeft w:val="480"/>
          <w:marRight w:val="0"/>
          <w:marTop w:val="0"/>
          <w:marBottom w:val="0"/>
          <w:divBdr>
            <w:top w:val="none" w:sz="0" w:space="0" w:color="auto"/>
            <w:left w:val="none" w:sz="0" w:space="0" w:color="auto"/>
            <w:bottom w:val="none" w:sz="0" w:space="0" w:color="auto"/>
            <w:right w:val="none" w:sz="0" w:space="0" w:color="auto"/>
          </w:divBdr>
        </w:div>
        <w:div w:id="220017851">
          <w:marLeft w:val="480"/>
          <w:marRight w:val="0"/>
          <w:marTop w:val="0"/>
          <w:marBottom w:val="0"/>
          <w:divBdr>
            <w:top w:val="none" w:sz="0" w:space="0" w:color="auto"/>
            <w:left w:val="none" w:sz="0" w:space="0" w:color="auto"/>
            <w:bottom w:val="none" w:sz="0" w:space="0" w:color="auto"/>
            <w:right w:val="none" w:sz="0" w:space="0" w:color="auto"/>
          </w:divBdr>
        </w:div>
        <w:div w:id="213742211">
          <w:marLeft w:val="480"/>
          <w:marRight w:val="0"/>
          <w:marTop w:val="0"/>
          <w:marBottom w:val="0"/>
          <w:divBdr>
            <w:top w:val="none" w:sz="0" w:space="0" w:color="auto"/>
            <w:left w:val="none" w:sz="0" w:space="0" w:color="auto"/>
            <w:bottom w:val="none" w:sz="0" w:space="0" w:color="auto"/>
            <w:right w:val="none" w:sz="0" w:space="0" w:color="auto"/>
          </w:divBdr>
        </w:div>
      </w:divsChild>
    </w:div>
    <w:div w:id="1288663588">
      <w:bodyDiv w:val="1"/>
      <w:marLeft w:val="0"/>
      <w:marRight w:val="0"/>
      <w:marTop w:val="0"/>
      <w:marBottom w:val="0"/>
      <w:divBdr>
        <w:top w:val="none" w:sz="0" w:space="0" w:color="auto"/>
        <w:left w:val="none" w:sz="0" w:space="0" w:color="auto"/>
        <w:bottom w:val="none" w:sz="0" w:space="0" w:color="auto"/>
        <w:right w:val="none" w:sz="0" w:space="0" w:color="auto"/>
      </w:divBdr>
      <w:divsChild>
        <w:div w:id="122577122">
          <w:marLeft w:val="480"/>
          <w:marRight w:val="0"/>
          <w:marTop w:val="0"/>
          <w:marBottom w:val="0"/>
          <w:divBdr>
            <w:top w:val="none" w:sz="0" w:space="0" w:color="auto"/>
            <w:left w:val="none" w:sz="0" w:space="0" w:color="auto"/>
            <w:bottom w:val="none" w:sz="0" w:space="0" w:color="auto"/>
            <w:right w:val="none" w:sz="0" w:space="0" w:color="auto"/>
          </w:divBdr>
        </w:div>
        <w:div w:id="1438678008">
          <w:marLeft w:val="480"/>
          <w:marRight w:val="0"/>
          <w:marTop w:val="0"/>
          <w:marBottom w:val="0"/>
          <w:divBdr>
            <w:top w:val="none" w:sz="0" w:space="0" w:color="auto"/>
            <w:left w:val="none" w:sz="0" w:space="0" w:color="auto"/>
            <w:bottom w:val="none" w:sz="0" w:space="0" w:color="auto"/>
            <w:right w:val="none" w:sz="0" w:space="0" w:color="auto"/>
          </w:divBdr>
        </w:div>
        <w:div w:id="98912134">
          <w:marLeft w:val="480"/>
          <w:marRight w:val="0"/>
          <w:marTop w:val="0"/>
          <w:marBottom w:val="0"/>
          <w:divBdr>
            <w:top w:val="none" w:sz="0" w:space="0" w:color="auto"/>
            <w:left w:val="none" w:sz="0" w:space="0" w:color="auto"/>
            <w:bottom w:val="none" w:sz="0" w:space="0" w:color="auto"/>
            <w:right w:val="none" w:sz="0" w:space="0" w:color="auto"/>
          </w:divBdr>
        </w:div>
        <w:div w:id="2125034098">
          <w:marLeft w:val="480"/>
          <w:marRight w:val="0"/>
          <w:marTop w:val="0"/>
          <w:marBottom w:val="0"/>
          <w:divBdr>
            <w:top w:val="none" w:sz="0" w:space="0" w:color="auto"/>
            <w:left w:val="none" w:sz="0" w:space="0" w:color="auto"/>
            <w:bottom w:val="none" w:sz="0" w:space="0" w:color="auto"/>
            <w:right w:val="none" w:sz="0" w:space="0" w:color="auto"/>
          </w:divBdr>
        </w:div>
        <w:div w:id="506486897">
          <w:marLeft w:val="480"/>
          <w:marRight w:val="0"/>
          <w:marTop w:val="0"/>
          <w:marBottom w:val="0"/>
          <w:divBdr>
            <w:top w:val="none" w:sz="0" w:space="0" w:color="auto"/>
            <w:left w:val="none" w:sz="0" w:space="0" w:color="auto"/>
            <w:bottom w:val="none" w:sz="0" w:space="0" w:color="auto"/>
            <w:right w:val="none" w:sz="0" w:space="0" w:color="auto"/>
          </w:divBdr>
        </w:div>
        <w:div w:id="1729953962">
          <w:marLeft w:val="480"/>
          <w:marRight w:val="0"/>
          <w:marTop w:val="0"/>
          <w:marBottom w:val="0"/>
          <w:divBdr>
            <w:top w:val="none" w:sz="0" w:space="0" w:color="auto"/>
            <w:left w:val="none" w:sz="0" w:space="0" w:color="auto"/>
            <w:bottom w:val="none" w:sz="0" w:space="0" w:color="auto"/>
            <w:right w:val="none" w:sz="0" w:space="0" w:color="auto"/>
          </w:divBdr>
        </w:div>
        <w:div w:id="246814211">
          <w:marLeft w:val="480"/>
          <w:marRight w:val="0"/>
          <w:marTop w:val="0"/>
          <w:marBottom w:val="0"/>
          <w:divBdr>
            <w:top w:val="none" w:sz="0" w:space="0" w:color="auto"/>
            <w:left w:val="none" w:sz="0" w:space="0" w:color="auto"/>
            <w:bottom w:val="none" w:sz="0" w:space="0" w:color="auto"/>
            <w:right w:val="none" w:sz="0" w:space="0" w:color="auto"/>
          </w:divBdr>
        </w:div>
        <w:div w:id="2112310209">
          <w:marLeft w:val="480"/>
          <w:marRight w:val="0"/>
          <w:marTop w:val="0"/>
          <w:marBottom w:val="0"/>
          <w:divBdr>
            <w:top w:val="none" w:sz="0" w:space="0" w:color="auto"/>
            <w:left w:val="none" w:sz="0" w:space="0" w:color="auto"/>
            <w:bottom w:val="none" w:sz="0" w:space="0" w:color="auto"/>
            <w:right w:val="none" w:sz="0" w:space="0" w:color="auto"/>
          </w:divBdr>
        </w:div>
      </w:divsChild>
    </w:div>
    <w:div w:id="1404178765">
      <w:bodyDiv w:val="1"/>
      <w:marLeft w:val="0"/>
      <w:marRight w:val="0"/>
      <w:marTop w:val="0"/>
      <w:marBottom w:val="0"/>
      <w:divBdr>
        <w:top w:val="none" w:sz="0" w:space="0" w:color="auto"/>
        <w:left w:val="none" w:sz="0" w:space="0" w:color="auto"/>
        <w:bottom w:val="none" w:sz="0" w:space="0" w:color="auto"/>
        <w:right w:val="none" w:sz="0" w:space="0" w:color="auto"/>
      </w:divBdr>
      <w:divsChild>
        <w:div w:id="2086024475">
          <w:marLeft w:val="480"/>
          <w:marRight w:val="0"/>
          <w:marTop w:val="0"/>
          <w:marBottom w:val="0"/>
          <w:divBdr>
            <w:top w:val="none" w:sz="0" w:space="0" w:color="auto"/>
            <w:left w:val="none" w:sz="0" w:space="0" w:color="auto"/>
            <w:bottom w:val="none" w:sz="0" w:space="0" w:color="auto"/>
            <w:right w:val="none" w:sz="0" w:space="0" w:color="auto"/>
          </w:divBdr>
        </w:div>
        <w:div w:id="1922640658">
          <w:marLeft w:val="480"/>
          <w:marRight w:val="0"/>
          <w:marTop w:val="0"/>
          <w:marBottom w:val="0"/>
          <w:divBdr>
            <w:top w:val="none" w:sz="0" w:space="0" w:color="auto"/>
            <w:left w:val="none" w:sz="0" w:space="0" w:color="auto"/>
            <w:bottom w:val="none" w:sz="0" w:space="0" w:color="auto"/>
            <w:right w:val="none" w:sz="0" w:space="0" w:color="auto"/>
          </w:divBdr>
        </w:div>
        <w:div w:id="1862014412">
          <w:marLeft w:val="480"/>
          <w:marRight w:val="0"/>
          <w:marTop w:val="0"/>
          <w:marBottom w:val="0"/>
          <w:divBdr>
            <w:top w:val="none" w:sz="0" w:space="0" w:color="auto"/>
            <w:left w:val="none" w:sz="0" w:space="0" w:color="auto"/>
            <w:bottom w:val="none" w:sz="0" w:space="0" w:color="auto"/>
            <w:right w:val="none" w:sz="0" w:space="0" w:color="auto"/>
          </w:divBdr>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33935936">
      <w:bodyDiv w:val="1"/>
      <w:marLeft w:val="0"/>
      <w:marRight w:val="0"/>
      <w:marTop w:val="0"/>
      <w:marBottom w:val="0"/>
      <w:divBdr>
        <w:top w:val="none" w:sz="0" w:space="0" w:color="auto"/>
        <w:left w:val="none" w:sz="0" w:space="0" w:color="auto"/>
        <w:bottom w:val="none" w:sz="0" w:space="0" w:color="auto"/>
        <w:right w:val="none" w:sz="0" w:space="0" w:color="auto"/>
      </w:divBdr>
    </w:div>
    <w:div w:id="1446539839">
      <w:bodyDiv w:val="1"/>
      <w:marLeft w:val="0"/>
      <w:marRight w:val="0"/>
      <w:marTop w:val="0"/>
      <w:marBottom w:val="0"/>
      <w:divBdr>
        <w:top w:val="none" w:sz="0" w:space="0" w:color="auto"/>
        <w:left w:val="none" w:sz="0" w:space="0" w:color="auto"/>
        <w:bottom w:val="none" w:sz="0" w:space="0" w:color="auto"/>
        <w:right w:val="none" w:sz="0" w:space="0" w:color="auto"/>
      </w:divBdr>
      <w:divsChild>
        <w:div w:id="1086879410">
          <w:marLeft w:val="480"/>
          <w:marRight w:val="0"/>
          <w:marTop w:val="0"/>
          <w:marBottom w:val="0"/>
          <w:divBdr>
            <w:top w:val="none" w:sz="0" w:space="0" w:color="auto"/>
            <w:left w:val="none" w:sz="0" w:space="0" w:color="auto"/>
            <w:bottom w:val="none" w:sz="0" w:space="0" w:color="auto"/>
            <w:right w:val="none" w:sz="0" w:space="0" w:color="auto"/>
          </w:divBdr>
        </w:div>
        <w:div w:id="638805915">
          <w:marLeft w:val="480"/>
          <w:marRight w:val="0"/>
          <w:marTop w:val="0"/>
          <w:marBottom w:val="0"/>
          <w:divBdr>
            <w:top w:val="none" w:sz="0" w:space="0" w:color="auto"/>
            <w:left w:val="none" w:sz="0" w:space="0" w:color="auto"/>
            <w:bottom w:val="none" w:sz="0" w:space="0" w:color="auto"/>
            <w:right w:val="none" w:sz="0" w:space="0" w:color="auto"/>
          </w:divBdr>
        </w:div>
        <w:div w:id="1322731897">
          <w:marLeft w:val="480"/>
          <w:marRight w:val="0"/>
          <w:marTop w:val="0"/>
          <w:marBottom w:val="0"/>
          <w:divBdr>
            <w:top w:val="none" w:sz="0" w:space="0" w:color="auto"/>
            <w:left w:val="none" w:sz="0" w:space="0" w:color="auto"/>
            <w:bottom w:val="none" w:sz="0" w:space="0" w:color="auto"/>
            <w:right w:val="none" w:sz="0" w:space="0" w:color="auto"/>
          </w:divBdr>
        </w:div>
        <w:div w:id="1280650509">
          <w:marLeft w:val="480"/>
          <w:marRight w:val="0"/>
          <w:marTop w:val="0"/>
          <w:marBottom w:val="0"/>
          <w:divBdr>
            <w:top w:val="none" w:sz="0" w:space="0" w:color="auto"/>
            <w:left w:val="none" w:sz="0" w:space="0" w:color="auto"/>
            <w:bottom w:val="none" w:sz="0" w:space="0" w:color="auto"/>
            <w:right w:val="none" w:sz="0" w:space="0" w:color="auto"/>
          </w:divBdr>
        </w:div>
        <w:div w:id="1313868356">
          <w:marLeft w:val="480"/>
          <w:marRight w:val="0"/>
          <w:marTop w:val="0"/>
          <w:marBottom w:val="0"/>
          <w:divBdr>
            <w:top w:val="none" w:sz="0" w:space="0" w:color="auto"/>
            <w:left w:val="none" w:sz="0" w:space="0" w:color="auto"/>
            <w:bottom w:val="none" w:sz="0" w:space="0" w:color="auto"/>
            <w:right w:val="none" w:sz="0" w:space="0" w:color="auto"/>
          </w:divBdr>
        </w:div>
        <w:div w:id="1457722103">
          <w:marLeft w:val="480"/>
          <w:marRight w:val="0"/>
          <w:marTop w:val="0"/>
          <w:marBottom w:val="0"/>
          <w:divBdr>
            <w:top w:val="none" w:sz="0" w:space="0" w:color="auto"/>
            <w:left w:val="none" w:sz="0" w:space="0" w:color="auto"/>
            <w:bottom w:val="none" w:sz="0" w:space="0" w:color="auto"/>
            <w:right w:val="none" w:sz="0" w:space="0" w:color="auto"/>
          </w:divBdr>
        </w:div>
        <w:div w:id="561719593">
          <w:marLeft w:val="480"/>
          <w:marRight w:val="0"/>
          <w:marTop w:val="0"/>
          <w:marBottom w:val="0"/>
          <w:divBdr>
            <w:top w:val="none" w:sz="0" w:space="0" w:color="auto"/>
            <w:left w:val="none" w:sz="0" w:space="0" w:color="auto"/>
            <w:bottom w:val="none" w:sz="0" w:space="0" w:color="auto"/>
            <w:right w:val="none" w:sz="0" w:space="0" w:color="auto"/>
          </w:divBdr>
        </w:div>
        <w:div w:id="184953280">
          <w:marLeft w:val="480"/>
          <w:marRight w:val="0"/>
          <w:marTop w:val="0"/>
          <w:marBottom w:val="0"/>
          <w:divBdr>
            <w:top w:val="none" w:sz="0" w:space="0" w:color="auto"/>
            <w:left w:val="none" w:sz="0" w:space="0" w:color="auto"/>
            <w:bottom w:val="none" w:sz="0" w:space="0" w:color="auto"/>
            <w:right w:val="none" w:sz="0" w:space="0" w:color="auto"/>
          </w:divBdr>
        </w:div>
        <w:div w:id="897400201">
          <w:marLeft w:val="480"/>
          <w:marRight w:val="0"/>
          <w:marTop w:val="0"/>
          <w:marBottom w:val="0"/>
          <w:divBdr>
            <w:top w:val="none" w:sz="0" w:space="0" w:color="auto"/>
            <w:left w:val="none" w:sz="0" w:space="0" w:color="auto"/>
            <w:bottom w:val="none" w:sz="0" w:space="0" w:color="auto"/>
            <w:right w:val="none" w:sz="0" w:space="0" w:color="auto"/>
          </w:divBdr>
        </w:div>
        <w:div w:id="970404888">
          <w:marLeft w:val="480"/>
          <w:marRight w:val="0"/>
          <w:marTop w:val="0"/>
          <w:marBottom w:val="0"/>
          <w:divBdr>
            <w:top w:val="none" w:sz="0" w:space="0" w:color="auto"/>
            <w:left w:val="none" w:sz="0" w:space="0" w:color="auto"/>
            <w:bottom w:val="none" w:sz="0" w:space="0" w:color="auto"/>
            <w:right w:val="none" w:sz="0" w:space="0" w:color="auto"/>
          </w:divBdr>
        </w:div>
        <w:div w:id="410078986">
          <w:marLeft w:val="480"/>
          <w:marRight w:val="0"/>
          <w:marTop w:val="0"/>
          <w:marBottom w:val="0"/>
          <w:divBdr>
            <w:top w:val="none" w:sz="0" w:space="0" w:color="auto"/>
            <w:left w:val="none" w:sz="0" w:space="0" w:color="auto"/>
            <w:bottom w:val="none" w:sz="0" w:space="0" w:color="auto"/>
            <w:right w:val="none" w:sz="0" w:space="0" w:color="auto"/>
          </w:divBdr>
        </w:div>
        <w:div w:id="1647247643">
          <w:marLeft w:val="480"/>
          <w:marRight w:val="0"/>
          <w:marTop w:val="0"/>
          <w:marBottom w:val="0"/>
          <w:divBdr>
            <w:top w:val="none" w:sz="0" w:space="0" w:color="auto"/>
            <w:left w:val="none" w:sz="0" w:space="0" w:color="auto"/>
            <w:bottom w:val="none" w:sz="0" w:space="0" w:color="auto"/>
            <w:right w:val="none" w:sz="0" w:space="0" w:color="auto"/>
          </w:divBdr>
        </w:div>
        <w:div w:id="2077625688">
          <w:marLeft w:val="480"/>
          <w:marRight w:val="0"/>
          <w:marTop w:val="0"/>
          <w:marBottom w:val="0"/>
          <w:divBdr>
            <w:top w:val="none" w:sz="0" w:space="0" w:color="auto"/>
            <w:left w:val="none" w:sz="0" w:space="0" w:color="auto"/>
            <w:bottom w:val="none" w:sz="0" w:space="0" w:color="auto"/>
            <w:right w:val="none" w:sz="0" w:space="0" w:color="auto"/>
          </w:divBdr>
        </w:div>
        <w:div w:id="1862816976">
          <w:marLeft w:val="480"/>
          <w:marRight w:val="0"/>
          <w:marTop w:val="0"/>
          <w:marBottom w:val="0"/>
          <w:divBdr>
            <w:top w:val="none" w:sz="0" w:space="0" w:color="auto"/>
            <w:left w:val="none" w:sz="0" w:space="0" w:color="auto"/>
            <w:bottom w:val="none" w:sz="0" w:space="0" w:color="auto"/>
            <w:right w:val="none" w:sz="0" w:space="0" w:color="auto"/>
          </w:divBdr>
        </w:div>
      </w:divsChild>
    </w:div>
    <w:div w:id="1487277767">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10944711">
      <w:bodyDiv w:val="1"/>
      <w:marLeft w:val="0"/>
      <w:marRight w:val="0"/>
      <w:marTop w:val="0"/>
      <w:marBottom w:val="0"/>
      <w:divBdr>
        <w:top w:val="none" w:sz="0" w:space="0" w:color="auto"/>
        <w:left w:val="none" w:sz="0" w:space="0" w:color="auto"/>
        <w:bottom w:val="none" w:sz="0" w:space="0" w:color="auto"/>
        <w:right w:val="none" w:sz="0" w:space="0" w:color="auto"/>
      </w:divBdr>
      <w:divsChild>
        <w:div w:id="203060578">
          <w:marLeft w:val="480"/>
          <w:marRight w:val="0"/>
          <w:marTop w:val="0"/>
          <w:marBottom w:val="0"/>
          <w:divBdr>
            <w:top w:val="none" w:sz="0" w:space="0" w:color="auto"/>
            <w:left w:val="none" w:sz="0" w:space="0" w:color="auto"/>
            <w:bottom w:val="none" w:sz="0" w:space="0" w:color="auto"/>
            <w:right w:val="none" w:sz="0" w:space="0" w:color="auto"/>
          </w:divBdr>
        </w:div>
        <w:div w:id="1507089593">
          <w:marLeft w:val="480"/>
          <w:marRight w:val="0"/>
          <w:marTop w:val="0"/>
          <w:marBottom w:val="0"/>
          <w:divBdr>
            <w:top w:val="none" w:sz="0" w:space="0" w:color="auto"/>
            <w:left w:val="none" w:sz="0" w:space="0" w:color="auto"/>
            <w:bottom w:val="none" w:sz="0" w:space="0" w:color="auto"/>
            <w:right w:val="none" w:sz="0" w:space="0" w:color="auto"/>
          </w:divBdr>
        </w:div>
        <w:div w:id="1523321320">
          <w:marLeft w:val="480"/>
          <w:marRight w:val="0"/>
          <w:marTop w:val="0"/>
          <w:marBottom w:val="0"/>
          <w:divBdr>
            <w:top w:val="none" w:sz="0" w:space="0" w:color="auto"/>
            <w:left w:val="none" w:sz="0" w:space="0" w:color="auto"/>
            <w:bottom w:val="none" w:sz="0" w:space="0" w:color="auto"/>
            <w:right w:val="none" w:sz="0" w:space="0" w:color="auto"/>
          </w:divBdr>
        </w:div>
        <w:div w:id="546767079">
          <w:marLeft w:val="480"/>
          <w:marRight w:val="0"/>
          <w:marTop w:val="0"/>
          <w:marBottom w:val="0"/>
          <w:divBdr>
            <w:top w:val="none" w:sz="0" w:space="0" w:color="auto"/>
            <w:left w:val="none" w:sz="0" w:space="0" w:color="auto"/>
            <w:bottom w:val="none" w:sz="0" w:space="0" w:color="auto"/>
            <w:right w:val="none" w:sz="0" w:space="0" w:color="auto"/>
          </w:divBdr>
        </w:div>
        <w:div w:id="844394273">
          <w:marLeft w:val="480"/>
          <w:marRight w:val="0"/>
          <w:marTop w:val="0"/>
          <w:marBottom w:val="0"/>
          <w:divBdr>
            <w:top w:val="none" w:sz="0" w:space="0" w:color="auto"/>
            <w:left w:val="none" w:sz="0" w:space="0" w:color="auto"/>
            <w:bottom w:val="none" w:sz="0" w:space="0" w:color="auto"/>
            <w:right w:val="none" w:sz="0" w:space="0" w:color="auto"/>
          </w:divBdr>
        </w:div>
        <w:div w:id="1643267011">
          <w:marLeft w:val="480"/>
          <w:marRight w:val="0"/>
          <w:marTop w:val="0"/>
          <w:marBottom w:val="0"/>
          <w:divBdr>
            <w:top w:val="none" w:sz="0" w:space="0" w:color="auto"/>
            <w:left w:val="none" w:sz="0" w:space="0" w:color="auto"/>
            <w:bottom w:val="none" w:sz="0" w:space="0" w:color="auto"/>
            <w:right w:val="none" w:sz="0" w:space="0" w:color="auto"/>
          </w:divBdr>
        </w:div>
        <w:div w:id="542139434">
          <w:marLeft w:val="480"/>
          <w:marRight w:val="0"/>
          <w:marTop w:val="0"/>
          <w:marBottom w:val="0"/>
          <w:divBdr>
            <w:top w:val="none" w:sz="0" w:space="0" w:color="auto"/>
            <w:left w:val="none" w:sz="0" w:space="0" w:color="auto"/>
            <w:bottom w:val="none" w:sz="0" w:space="0" w:color="auto"/>
            <w:right w:val="none" w:sz="0" w:space="0" w:color="auto"/>
          </w:divBdr>
        </w:div>
        <w:div w:id="1461654916">
          <w:marLeft w:val="480"/>
          <w:marRight w:val="0"/>
          <w:marTop w:val="0"/>
          <w:marBottom w:val="0"/>
          <w:divBdr>
            <w:top w:val="none" w:sz="0" w:space="0" w:color="auto"/>
            <w:left w:val="none" w:sz="0" w:space="0" w:color="auto"/>
            <w:bottom w:val="none" w:sz="0" w:space="0" w:color="auto"/>
            <w:right w:val="none" w:sz="0" w:space="0" w:color="auto"/>
          </w:divBdr>
        </w:div>
        <w:div w:id="20710777">
          <w:marLeft w:val="480"/>
          <w:marRight w:val="0"/>
          <w:marTop w:val="0"/>
          <w:marBottom w:val="0"/>
          <w:divBdr>
            <w:top w:val="none" w:sz="0" w:space="0" w:color="auto"/>
            <w:left w:val="none" w:sz="0" w:space="0" w:color="auto"/>
            <w:bottom w:val="none" w:sz="0" w:space="0" w:color="auto"/>
            <w:right w:val="none" w:sz="0" w:space="0" w:color="auto"/>
          </w:divBdr>
        </w:div>
        <w:div w:id="1909805745">
          <w:marLeft w:val="480"/>
          <w:marRight w:val="0"/>
          <w:marTop w:val="0"/>
          <w:marBottom w:val="0"/>
          <w:divBdr>
            <w:top w:val="none" w:sz="0" w:space="0" w:color="auto"/>
            <w:left w:val="none" w:sz="0" w:space="0" w:color="auto"/>
            <w:bottom w:val="none" w:sz="0" w:space="0" w:color="auto"/>
            <w:right w:val="none" w:sz="0" w:space="0" w:color="auto"/>
          </w:divBdr>
        </w:div>
        <w:div w:id="1666395366">
          <w:marLeft w:val="480"/>
          <w:marRight w:val="0"/>
          <w:marTop w:val="0"/>
          <w:marBottom w:val="0"/>
          <w:divBdr>
            <w:top w:val="none" w:sz="0" w:space="0" w:color="auto"/>
            <w:left w:val="none" w:sz="0" w:space="0" w:color="auto"/>
            <w:bottom w:val="none" w:sz="0" w:space="0" w:color="auto"/>
            <w:right w:val="none" w:sz="0" w:space="0" w:color="auto"/>
          </w:divBdr>
        </w:div>
        <w:div w:id="156460823">
          <w:marLeft w:val="480"/>
          <w:marRight w:val="0"/>
          <w:marTop w:val="0"/>
          <w:marBottom w:val="0"/>
          <w:divBdr>
            <w:top w:val="none" w:sz="0" w:space="0" w:color="auto"/>
            <w:left w:val="none" w:sz="0" w:space="0" w:color="auto"/>
            <w:bottom w:val="none" w:sz="0" w:space="0" w:color="auto"/>
            <w:right w:val="none" w:sz="0" w:space="0" w:color="auto"/>
          </w:divBdr>
        </w:div>
        <w:div w:id="2102946322">
          <w:marLeft w:val="480"/>
          <w:marRight w:val="0"/>
          <w:marTop w:val="0"/>
          <w:marBottom w:val="0"/>
          <w:divBdr>
            <w:top w:val="none" w:sz="0" w:space="0" w:color="auto"/>
            <w:left w:val="none" w:sz="0" w:space="0" w:color="auto"/>
            <w:bottom w:val="none" w:sz="0" w:space="0" w:color="auto"/>
            <w:right w:val="none" w:sz="0" w:space="0" w:color="auto"/>
          </w:divBdr>
        </w:div>
      </w:divsChild>
    </w:div>
    <w:div w:id="1511136792">
      <w:bodyDiv w:val="1"/>
      <w:marLeft w:val="0"/>
      <w:marRight w:val="0"/>
      <w:marTop w:val="0"/>
      <w:marBottom w:val="0"/>
      <w:divBdr>
        <w:top w:val="none" w:sz="0" w:space="0" w:color="auto"/>
        <w:left w:val="none" w:sz="0" w:space="0" w:color="auto"/>
        <w:bottom w:val="none" w:sz="0" w:space="0" w:color="auto"/>
        <w:right w:val="none" w:sz="0" w:space="0" w:color="auto"/>
      </w:divBdr>
      <w:divsChild>
        <w:div w:id="1170213616">
          <w:marLeft w:val="480"/>
          <w:marRight w:val="0"/>
          <w:marTop w:val="0"/>
          <w:marBottom w:val="0"/>
          <w:divBdr>
            <w:top w:val="none" w:sz="0" w:space="0" w:color="auto"/>
            <w:left w:val="none" w:sz="0" w:space="0" w:color="auto"/>
            <w:bottom w:val="none" w:sz="0" w:space="0" w:color="auto"/>
            <w:right w:val="none" w:sz="0" w:space="0" w:color="auto"/>
          </w:divBdr>
        </w:div>
        <w:div w:id="391580048">
          <w:marLeft w:val="480"/>
          <w:marRight w:val="0"/>
          <w:marTop w:val="0"/>
          <w:marBottom w:val="0"/>
          <w:divBdr>
            <w:top w:val="none" w:sz="0" w:space="0" w:color="auto"/>
            <w:left w:val="none" w:sz="0" w:space="0" w:color="auto"/>
            <w:bottom w:val="none" w:sz="0" w:space="0" w:color="auto"/>
            <w:right w:val="none" w:sz="0" w:space="0" w:color="auto"/>
          </w:divBdr>
        </w:div>
        <w:div w:id="1521359498">
          <w:marLeft w:val="480"/>
          <w:marRight w:val="0"/>
          <w:marTop w:val="0"/>
          <w:marBottom w:val="0"/>
          <w:divBdr>
            <w:top w:val="none" w:sz="0" w:space="0" w:color="auto"/>
            <w:left w:val="none" w:sz="0" w:space="0" w:color="auto"/>
            <w:bottom w:val="none" w:sz="0" w:space="0" w:color="auto"/>
            <w:right w:val="none" w:sz="0" w:space="0" w:color="auto"/>
          </w:divBdr>
        </w:div>
        <w:div w:id="613294605">
          <w:marLeft w:val="480"/>
          <w:marRight w:val="0"/>
          <w:marTop w:val="0"/>
          <w:marBottom w:val="0"/>
          <w:divBdr>
            <w:top w:val="none" w:sz="0" w:space="0" w:color="auto"/>
            <w:left w:val="none" w:sz="0" w:space="0" w:color="auto"/>
            <w:bottom w:val="none" w:sz="0" w:space="0" w:color="auto"/>
            <w:right w:val="none" w:sz="0" w:space="0" w:color="auto"/>
          </w:divBdr>
        </w:div>
        <w:div w:id="1805655673">
          <w:marLeft w:val="480"/>
          <w:marRight w:val="0"/>
          <w:marTop w:val="0"/>
          <w:marBottom w:val="0"/>
          <w:divBdr>
            <w:top w:val="none" w:sz="0" w:space="0" w:color="auto"/>
            <w:left w:val="none" w:sz="0" w:space="0" w:color="auto"/>
            <w:bottom w:val="none" w:sz="0" w:space="0" w:color="auto"/>
            <w:right w:val="none" w:sz="0" w:space="0" w:color="auto"/>
          </w:divBdr>
        </w:div>
        <w:div w:id="187377617">
          <w:marLeft w:val="480"/>
          <w:marRight w:val="0"/>
          <w:marTop w:val="0"/>
          <w:marBottom w:val="0"/>
          <w:divBdr>
            <w:top w:val="none" w:sz="0" w:space="0" w:color="auto"/>
            <w:left w:val="none" w:sz="0" w:space="0" w:color="auto"/>
            <w:bottom w:val="none" w:sz="0" w:space="0" w:color="auto"/>
            <w:right w:val="none" w:sz="0" w:space="0" w:color="auto"/>
          </w:divBdr>
        </w:div>
        <w:div w:id="464078855">
          <w:marLeft w:val="480"/>
          <w:marRight w:val="0"/>
          <w:marTop w:val="0"/>
          <w:marBottom w:val="0"/>
          <w:divBdr>
            <w:top w:val="none" w:sz="0" w:space="0" w:color="auto"/>
            <w:left w:val="none" w:sz="0" w:space="0" w:color="auto"/>
            <w:bottom w:val="none" w:sz="0" w:space="0" w:color="auto"/>
            <w:right w:val="none" w:sz="0" w:space="0" w:color="auto"/>
          </w:divBdr>
        </w:div>
      </w:divsChild>
    </w:div>
    <w:div w:id="1511407100">
      <w:bodyDiv w:val="1"/>
      <w:marLeft w:val="0"/>
      <w:marRight w:val="0"/>
      <w:marTop w:val="0"/>
      <w:marBottom w:val="0"/>
      <w:divBdr>
        <w:top w:val="none" w:sz="0" w:space="0" w:color="auto"/>
        <w:left w:val="none" w:sz="0" w:space="0" w:color="auto"/>
        <w:bottom w:val="none" w:sz="0" w:space="0" w:color="auto"/>
        <w:right w:val="none" w:sz="0" w:space="0" w:color="auto"/>
      </w:divBdr>
    </w:div>
    <w:div w:id="1534612294">
      <w:bodyDiv w:val="1"/>
      <w:marLeft w:val="0"/>
      <w:marRight w:val="0"/>
      <w:marTop w:val="0"/>
      <w:marBottom w:val="0"/>
      <w:divBdr>
        <w:top w:val="none" w:sz="0" w:space="0" w:color="auto"/>
        <w:left w:val="none" w:sz="0" w:space="0" w:color="auto"/>
        <w:bottom w:val="none" w:sz="0" w:space="0" w:color="auto"/>
        <w:right w:val="none" w:sz="0" w:space="0" w:color="auto"/>
      </w:divBdr>
      <w:divsChild>
        <w:div w:id="1194340206">
          <w:marLeft w:val="480"/>
          <w:marRight w:val="0"/>
          <w:marTop w:val="0"/>
          <w:marBottom w:val="0"/>
          <w:divBdr>
            <w:top w:val="none" w:sz="0" w:space="0" w:color="auto"/>
            <w:left w:val="none" w:sz="0" w:space="0" w:color="auto"/>
            <w:bottom w:val="none" w:sz="0" w:space="0" w:color="auto"/>
            <w:right w:val="none" w:sz="0" w:space="0" w:color="auto"/>
          </w:divBdr>
        </w:div>
        <w:div w:id="437141811">
          <w:marLeft w:val="480"/>
          <w:marRight w:val="0"/>
          <w:marTop w:val="0"/>
          <w:marBottom w:val="0"/>
          <w:divBdr>
            <w:top w:val="none" w:sz="0" w:space="0" w:color="auto"/>
            <w:left w:val="none" w:sz="0" w:space="0" w:color="auto"/>
            <w:bottom w:val="none" w:sz="0" w:space="0" w:color="auto"/>
            <w:right w:val="none" w:sz="0" w:space="0" w:color="auto"/>
          </w:divBdr>
        </w:div>
        <w:div w:id="1367293161">
          <w:marLeft w:val="480"/>
          <w:marRight w:val="0"/>
          <w:marTop w:val="0"/>
          <w:marBottom w:val="0"/>
          <w:divBdr>
            <w:top w:val="none" w:sz="0" w:space="0" w:color="auto"/>
            <w:left w:val="none" w:sz="0" w:space="0" w:color="auto"/>
            <w:bottom w:val="none" w:sz="0" w:space="0" w:color="auto"/>
            <w:right w:val="none" w:sz="0" w:space="0" w:color="auto"/>
          </w:divBdr>
        </w:div>
        <w:div w:id="1128933678">
          <w:marLeft w:val="480"/>
          <w:marRight w:val="0"/>
          <w:marTop w:val="0"/>
          <w:marBottom w:val="0"/>
          <w:divBdr>
            <w:top w:val="none" w:sz="0" w:space="0" w:color="auto"/>
            <w:left w:val="none" w:sz="0" w:space="0" w:color="auto"/>
            <w:bottom w:val="none" w:sz="0" w:space="0" w:color="auto"/>
            <w:right w:val="none" w:sz="0" w:space="0" w:color="auto"/>
          </w:divBdr>
        </w:div>
      </w:divsChild>
    </w:div>
    <w:div w:id="1567295732">
      <w:bodyDiv w:val="1"/>
      <w:marLeft w:val="0"/>
      <w:marRight w:val="0"/>
      <w:marTop w:val="0"/>
      <w:marBottom w:val="0"/>
      <w:divBdr>
        <w:top w:val="none" w:sz="0" w:space="0" w:color="auto"/>
        <w:left w:val="none" w:sz="0" w:space="0" w:color="auto"/>
        <w:bottom w:val="none" w:sz="0" w:space="0" w:color="auto"/>
        <w:right w:val="none" w:sz="0" w:space="0" w:color="auto"/>
      </w:divBdr>
      <w:divsChild>
        <w:div w:id="1566989713">
          <w:marLeft w:val="480"/>
          <w:marRight w:val="0"/>
          <w:marTop w:val="0"/>
          <w:marBottom w:val="0"/>
          <w:divBdr>
            <w:top w:val="none" w:sz="0" w:space="0" w:color="auto"/>
            <w:left w:val="none" w:sz="0" w:space="0" w:color="auto"/>
            <w:bottom w:val="none" w:sz="0" w:space="0" w:color="auto"/>
            <w:right w:val="none" w:sz="0" w:space="0" w:color="auto"/>
          </w:divBdr>
        </w:div>
        <w:div w:id="688914615">
          <w:marLeft w:val="480"/>
          <w:marRight w:val="0"/>
          <w:marTop w:val="0"/>
          <w:marBottom w:val="0"/>
          <w:divBdr>
            <w:top w:val="none" w:sz="0" w:space="0" w:color="auto"/>
            <w:left w:val="none" w:sz="0" w:space="0" w:color="auto"/>
            <w:bottom w:val="none" w:sz="0" w:space="0" w:color="auto"/>
            <w:right w:val="none" w:sz="0" w:space="0" w:color="auto"/>
          </w:divBdr>
        </w:div>
        <w:div w:id="1820879794">
          <w:marLeft w:val="480"/>
          <w:marRight w:val="0"/>
          <w:marTop w:val="0"/>
          <w:marBottom w:val="0"/>
          <w:divBdr>
            <w:top w:val="none" w:sz="0" w:space="0" w:color="auto"/>
            <w:left w:val="none" w:sz="0" w:space="0" w:color="auto"/>
            <w:bottom w:val="none" w:sz="0" w:space="0" w:color="auto"/>
            <w:right w:val="none" w:sz="0" w:space="0" w:color="auto"/>
          </w:divBdr>
        </w:div>
        <w:div w:id="657417358">
          <w:marLeft w:val="480"/>
          <w:marRight w:val="0"/>
          <w:marTop w:val="0"/>
          <w:marBottom w:val="0"/>
          <w:divBdr>
            <w:top w:val="none" w:sz="0" w:space="0" w:color="auto"/>
            <w:left w:val="none" w:sz="0" w:space="0" w:color="auto"/>
            <w:bottom w:val="none" w:sz="0" w:space="0" w:color="auto"/>
            <w:right w:val="none" w:sz="0" w:space="0" w:color="auto"/>
          </w:divBdr>
        </w:div>
        <w:div w:id="1315331656">
          <w:marLeft w:val="480"/>
          <w:marRight w:val="0"/>
          <w:marTop w:val="0"/>
          <w:marBottom w:val="0"/>
          <w:divBdr>
            <w:top w:val="none" w:sz="0" w:space="0" w:color="auto"/>
            <w:left w:val="none" w:sz="0" w:space="0" w:color="auto"/>
            <w:bottom w:val="none" w:sz="0" w:space="0" w:color="auto"/>
            <w:right w:val="none" w:sz="0" w:space="0" w:color="auto"/>
          </w:divBdr>
        </w:div>
        <w:div w:id="111290347">
          <w:marLeft w:val="480"/>
          <w:marRight w:val="0"/>
          <w:marTop w:val="0"/>
          <w:marBottom w:val="0"/>
          <w:divBdr>
            <w:top w:val="none" w:sz="0" w:space="0" w:color="auto"/>
            <w:left w:val="none" w:sz="0" w:space="0" w:color="auto"/>
            <w:bottom w:val="none" w:sz="0" w:space="0" w:color="auto"/>
            <w:right w:val="none" w:sz="0" w:space="0" w:color="auto"/>
          </w:divBdr>
        </w:div>
        <w:div w:id="1813281709">
          <w:marLeft w:val="480"/>
          <w:marRight w:val="0"/>
          <w:marTop w:val="0"/>
          <w:marBottom w:val="0"/>
          <w:divBdr>
            <w:top w:val="none" w:sz="0" w:space="0" w:color="auto"/>
            <w:left w:val="none" w:sz="0" w:space="0" w:color="auto"/>
            <w:bottom w:val="none" w:sz="0" w:space="0" w:color="auto"/>
            <w:right w:val="none" w:sz="0" w:space="0" w:color="auto"/>
          </w:divBdr>
        </w:div>
        <w:div w:id="905725282">
          <w:marLeft w:val="480"/>
          <w:marRight w:val="0"/>
          <w:marTop w:val="0"/>
          <w:marBottom w:val="0"/>
          <w:divBdr>
            <w:top w:val="none" w:sz="0" w:space="0" w:color="auto"/>
            <w:left w:val="none" w:sz="0" w:space="0" w:color="auto"/>
            <w:bottom w:val="none" w:sz="0" w:space="0" w:color="auto"/>
            <w:right w:val="none" w:sz="0" w:space="0" w:color="auto"/>
          </w:divBdr>
        </w:div>
      </w:divsChild>
    </w:div>
    <w:div w:id="1569995595">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859671">
      <w:bodyDiv w:val="1"/>
      <w:marLeft w:val="0"/>
      <w:marRight w:val="0"/>
      <w:marTop w:val="0"/>
      <w:marBottom w:val="0"/>
      <w:divBdr>
        <w:top w:val="none" w:sz="0" w:space="0" w:color="auto"/>
        <w:left w:val="none" w:sz="0" w:space="0" w:color="auto"/>
        <w:bottom w:val="none" w:sz="0" w:space="0" w:color="auto"/>
        <w:right w:val="none" w:sz="0" w:space="0" w:color="auto"/>
      </w:divBdr>
      <w:divsChild>
        <w:div w:id="1796945079">
          <w:marLeft w:val="480"/>
          <w:marRight w:val="0"/>
          <w:marTop w:val="0"/>
          <w:marBottom w:val="0"/>
          <w:divBdr>
            <w:top w:val="none" w:sz="0" w:space="0" w:color="auto"/>
            <w:left w:val="none" w:sz="0" w:space="0" w:color="auto"/>
            <w:bottom w:val="none" w:sz="0" w:space="0" w:color="auto"/>
            <w:right w:val="none" w:sz="0" w:space="0" w:color="auto"/>
          </w:divBdr>
        </w:div>
        <w:div w:id="1662460739">
          <w:marLeft w:val="480"/>
          <w:marRight w:val="0"/>
          <w:marTop w:val="0"/>
          <w:marBottom w:val="0"/>
          <w:divBdr>
            <w:top w:val="none" w:sz="0" w:space="0" w:color="auto"/>
            <w:left w:val="none" w:sz="0" w:space="0" w:color="auto"/>
            <w:bottom w:val="none" w:sz="0" w:space="0" w:color="auto"/>
            <w:right w:val="none" w:sz="0" w:space="0" w:color="auto"/>
          </w:divBdr>
        </w:div>
        <w:div w:id="1614707797">
          <w:marLeft w:val="480"/>
          <w:marRight w:val="0"/>
          <w:marTop w:val="0"/>
          <w:marBottom w:val="0"/>
          <w:divBdr>
            <w:top w:val="none" w:sz="0" w:space="0" w:color="auto"/>
            <w:left w:val="none" w:sz="0" w:space="0" w:color="auto"/>
            <w:bottom w:val="none" w:sz="0" w:space="0" w:color="auto"/>
            <w:right w:val="none" w:sz="0" w:space="0" w:color="auto"/>
          </w:divBdr>
        </w:div>
        <w:div w:id="1720200133">
          <w:marLeft w:val="480"/>
          <w:marRight w:val="0"/>
          <w:marTop w:val="0"/>
          <w:marBottom w:val="0"/>
          <w:divBdr>
            <w:top w:val="none" w:sz="0" w:space="0" w:color="auto"/>
            <w:left w:val="none" w:sz="0" w:space="0" w:color="auto"/>
            <w:bottom w:val="none" w:sz="0" w:space="0" w:color="auto"/>
            <w:right w:val="none" w:sz="0" w:space="0" w:color="auto"/>
          </w:divBdr>
        </w:div>
        <w:div w:id="1132599649">
          <w:marLeft w:val="480"/>
          <w:marRight w:val="0"/>
          <w:marTop w:val="0"/>
          <w:marBottom w:val="0"/>
          <w:divBdr>
            <w:top w:val="none" w:sz="0" w:space="0" w:color="auto"/>
            <w:left w:val="none" w:sz="0" w:space="0" w:color="auto"/>
            <w:bottom w:val="none" w:sz="0" w:space="0" w:color="auto"/>
            <w:right w:val="none" w:sz="0" w:space="0" w:color="auto"/>
          </w:divBdr>
        </w:div>
        <w:div w:id="1065639129">
          <w:marLeft w:val="480"/>
          <w:marRight w:val="0"/>
          <w:marTop w:val="0"/>
          <w:marBottom w:val="0"/>
          <w:divBdr>
            <w:top w:val="none" w:sz="0" w:space="0" w:color="auto"/>
            <w:left w:val="none" w:sz="0" w:space="0" w:color="auto"/>
            <w:bottom w:val="none" w:sz="0" w:space="0" w:color="auto"/>
            <w:right w:val="none" w:sz="0" w:space="0" w:color="auto"/>
          </w:divBdr>
        </w:div>
        <w:div w:id="664943772">
          <w:marLeft w:val="480"/>
          <w:marRight w:val="0"/>
          <w:marTop w:val="0"/>
          <w:marBottom w:val="0"/>
          <w:divBdr>
            <w:top w:val="none" w:sz="0" w:space="0" w:color="auto"/>
            <w:left w:val="none" w:sz="0" w:space="0" w:color="auto"/>
            <w:bottom w:val="none" w:sz="0" w:space="0" w:color="auto"/>
            <w:right w:val="none" w:sz="0" w:space="0" w:color="auto"/>
          </w:divBdr>
        </w:div>
        <w:div w:id="1280990447">
          <w:marLeft w:val="480"/>
          <w:marRight w:val="0"/>
          <w:marTop w:val="0"/>
          <w:marBottom w:val="0"/>
          <w:divBdr>
            <w:top w:val="none" w:sz="0" w:space="0" w:color="auto"/>
            <w:left w:val="none" w:sz="0" w:space="0" w:color="auto"/>
            <w:bottom w:val="none" w:sz="0" w:space="0" w:color="auto"/>
            <w:right w:val="none" w:sz="0" w:space="0" w:color="auto"/>
          </w:divBdr>
        </w:div>
      </w:divsChild>
    </w:div>
    <w:div w:id="1686906168">
      <w:bodyDiv w:val="1"/>
      <w:marLeft w:val="0"/>
      <w:marRight w:val="0"/>
      <w:marTop w:val="0"/>
      <w:marBottom w:val="0"/>
      <w:divBdr>
        <w:top w:val="none" w:sz="0" w:space="0" w:color="auto"/>
        <w:left w:val="none" w:sz="0" w:space="0" w:color="auto"/>
        <w:bottom w:val="none" w:sz="0" w:space="0" w:color="auto"/>
        <w:right w:val="none" w:sz="0" w:space="0" w:color="auto"/>
      </w:divBdr>
      <w:divsChild>
        <w:div w:id="1279292512">
          <w:marLeft w:val="480"/>
          <w:marRight w:val="0"/>
          <w:marTop w:val="0"/>
          <w:marBottom w:val="0"/>
          <w:divBdr>
            <w:top w:val="none" w:sz="0" w:space="0" w:color="auto"/>
            <w:left w:val="none" w:sz="0" w:space="0" w:color="auto"/>
            <w:bottom w:val="none" w:sz="0" w:space="0" w:color="auto"/>
            <w:right w:val="none" w:sz="0" w:space="0" w:color="auto"/>
          </w:divBdr>
        </w:div>
        <w:div w:id="792209901">
          <w:marLeft w:val="480"/>
          <w:marRight w:val="0"/>
          <w:marTop w:val="0"/>
          <w:marBottom w:val="0"/>
          <w:divBdr>
            <w:top w:val="none" w:sz="0" w:space="0" w:color="auto"/>
            <w:left w:val="none" w:sz="0" w:space="0" w:color="auto"/>
            <w:bottom w:val="none" w:sz="0" w:space="0" w:color="auto"/>
            <w:right w:val="none" w:sz="0" w:space="0" w:color="auto"/>
          </w:divBdr>
        </w:div>
        <w:div w:id="64692127">
          <w:marLeft w:val="480"/>
          <w:marRight w:val="0"/>
          <w:marTop w:val="0"/>
          <w:marBottom w:val="0"/>
          <w:divBdr>
            <w:top w:val="none" w:sz="0" w:space="0" w:color="auto"/>
            <w:left w:val="none" w:sz="0" w:space="0" w:color="auto"/>
            <w:bottom w:val="none" w:sz="0" w:space="0" w:color="auto"/>
            <w:right w:val="none" w:sz="0" w:space="0" w:color="auto"/>
          </w:divBdr>
        </w:div>
        <w:div w:id="788860793">
          <w:marLeft w:val="480"/>
          <w:marRight w:val="0"/>
          <w:marTop w:val="0"/>
          <w:marBottom w:val="0"/>
          <w:divBdr>
            <w:top w:val="none" w:sz="0" w:space="0" w:color="auto"/>
            <w:left w:val="none" w:sz="0" w:space="0" w:color="auto"/>
            <w:bottom w:val="none" w:sz="0" w:space="0" w:color="auto"/>
            <w:right w:val="none" w:sz="0" w:space="0" w:color="auto"/>
          </w:divBdr>
        </w:div>
        <w:div w:id="845707331">
          <w:marLeft w:val="480"/>
          <w:marRight w:val="0"/>
          <w:marTop w:val="0"/>
          <w:marBottom w:val="0"/>
          <w:divBdr>
            <w:top w:val="none" w:sz="0" w:space="0" w:color="auto"/>
            <w:left w:val="none" w:sz="0" w:space="0" w:color="auto"/>
            <w:bottom w:val="none" w:sz="0" w:space="0" w:color="auto"/>
            <w:right w:val="none" w:sz="0" w:space="0" w:color="auto"/>
          </w:divBdr>
        </w:div>
        <w:div w:id="1128166458">
          <w:marLeft w:val="480"/>
          <w:marRight w:val="0"/>
          <w:marTop w:val="0"/>
          <w:marBottom w:val="0"/>
          <w:divBdr>
            <w:top w:val="none" w:sz="0" w:space="0" w:color="auto"/>
            <w:left w:val="none" w:sz="0" w:space="0" w:color="auto"/>
            <w:bottom w:val="none" w:sz="0" w:space="0" w:color="auto"/>
            <w:right w:val="none" w:sz="0" w:space="0" w:color="auto"/>
          </w:divBdr>
        </w:div>
        <w:div w:id="1844390284">
          <w:marLeft w:val="480"/>
          <w:marRight w:val="0"/>
          <w:marTop w:val="0"/>
          <w:marBottom w:val="0"/>
          <w:divBdr>
            <w:top w:val="none" w:sz="0" w:space="0" w:color="auto"/>
            <w:left w:val="none" w:sz="0" w:space="0" w:color="auto"/>
            <w:bottom w:val="none" w:sz="0" w:space="0" w:color="auto"/>
            <w:right w:val="none" w:sz="0" w:space="0" w:color="auto"/>
          </w:divBdr>
        </w:div>
        <w:div w:id="1834180818">
          <w:marLeft w:val="480"/>
          <w:marRight w:val="0"/>
          <w:marTop w:val="0"/>
          <w:marBottom w:val="0"/>
          <w:divBdr>
            <w:top w:val="none" w:sz="0" w:space="0" w:color="auto"/>
            <w:left w:val="none" w:sz="0" w:space="0" w:color="auto"/>
            <w:bottom w:val="none" w:sz="0" w:space="0" w:color="auto"/>
            <w:right w:val="none" w:sz="0" w:space="0" w:color="auto"/>
          </w:divBdr>
        </w:div>
        <w:div w:id="43330402">
          <w:marLeft w:val="480"/>
          <w:marRight w:val="0"/>
          <w:marTop w:val="0"/>
          <w:marBottom w:val="0"/>
          <w:divBdr>
            <w:top w:val="none" w:sz="0" w:space="0" w:color="auto"/>
            <w:left w:val="none" w:sz="0" w:space="0" w:color="auto"/>
            <w:bottom w:val="none" w:sz="0" w:space="0" w:color="auto"/>
            <w:right w:val="none" w:sz="0" w:space="0" w:color="auto"/>
          </w:divBdr>
        </w:div>
        <w:div w:id="1566603750">
          <w:marLeft w:val="480"/>
          <w:marRight w:val="0"/>
          <w:marTop w:val="0"/>
          <w:marBottom w:val="0"/>
          <w:divBdr>
            <w:top w:val="none" w:sz="0" w:space="0" w:color="auto"/>
            <w:left w:val="none" w:sz="0" w:space="0" w:color="auto"/>
            <w:bottom w:val="none" w:sz="0" w:space="0" w:color="auto"/>
            <w:right w:val="none" w:sz="0" w:space="0" w:color="auto"/>
          </w:divBdr>
        </w:div>
        <w:div w:id="103615924">
          <w:marLeft w:val="480"/>
          <w:marRight w:val="0"/>
          <w:marTop w:val="0"/>
          <w:marBottom w:val="0"/>
          <w:divBdr>
            <w:top w:val="none" w:sz="0" w:space="0" w:color="auto"/>
            <w:left w:val="none" w:sz="0" w:space="0" w:color="auto"/>
            <w:bottom w:val="none" w:sz="0" w:space="0" w:color="auto"/>
            <w:right w:val="none" w:sz="0" w:space="0" w:color="auto"/>
          </w:divBdr>
        </w:div>
        <w:div w:id="1086266885">
          <w:marLeft w:val="480"/>
          <w:marRight w:val="0"/>
          <w:marTop w:val="0"/>
          <w:marBottom w:val="0"/>
          <w:divBdr>
            <w:top w:val="none" w:sz="0" w:space="0" w:color="auto"/>
            <w:left w:val="none" w:sz="0" w:space="0" w:color="auto"/>
            <w:bottom w:val="none" w:sz="0" w:space="0" w:color="auto"/>
            <w:right w:val="none" w:sz="0" w:space="0" w:color="auto"/>
          </w:divBdr>
        </w:div>
        <w:div w:id="844897983">
          <w:marLeft w:val="480"/>
          <w:marRight w:val="0"/>
          <w:marTop w:val="0"/>
          <w:marBottom w:val="0"/>
          <w:divBdr>
            <w:top w:val="none" w:sz="0" w:space="0" w:color="auto"/>
            <w:left w:val="none" w:sz="0" w:space="0" w:color="auto"/>
            <w:bottom w:val="none" w:sz="0" w:space="0" w:color="auto"/>
            <w:right w:val="none" w:sz="0" w:space="0" w:color="auto"/>
          </w:divBdr>
        </w:div>
        <w:div w:id="610016391">
          <w:marLeft w:val="480"/>
          <w:marRight w:val="0"/>
          <w:marTop w:val="0"/>
          <w:marBottom w:val="0"/>
          <w:divBdr>
            <w:top w:val="none" w:sz="0" w:space="0" w:color="auto"/>
            <w:left w:val="none" w:sz="0" w:space="0" w:color="auto"/>
            <w:bottom w:val="none" w:sz="0" w:space="0" w:color="auto"/>
            <w:right w:val="none" w:sz="0" w:space="0" w:color="auto"/>
          </w:divBdr>
        </w:div>
        <w:div w:id="2000041766">
          <w:marLeft w:val="480"/>
          <w:marRight w:val="0"/>
          <w:marTop w:val="0"/>
          <w:marBottom w:val="0"/>
          <w:divBdr>
            <w:top w:val="none" w:sz="0" w:space="0" w:color="auto"/>
            <w:left w:val="none" w:sz="0" w:space="0" w:color="auto"/>
            <w:bottom w:val="none" w:sz="0" w:space="0" w:color="auto"/>
            <w:right w:val="none" w:sz="0" w:space="0" w:color="auto"/>
          </w:divBdr>
        </w:div>
        <w:div w:id="1401708293">
          <w:marLeft w:val="480"/>
          <w:marRight w:val="0"/>
          <w:marTop w:val="0"/>
          <w:marBottom w:val="0"/>
          <w:divBdr>
            <w:top w:val="none" w:sz="0" w:space="0" w:color="auto"/>
            <w:left w:val="none" w:sz="0" w:space="0" w:color="auto"/>
            <w:bottom w:val="none" w:sz="0" w:space="0" w:color="auto"/>
            <w:right w:val="none" w:sz="0" w:space="0" w:color="auto"/>
          </w:divBdr>
        </w:div>
      </w:divsChild>
    </w:div>
    <w:div w:id="1695885716">
      <w:bodyDiv w:val="1"/>
      <w:marLeft w:val="0"/>
      <w:marRight w:val="0"/>
      <w:marTop w:val="0"/>
      <w:marBottom w:val="0"/>
      <w:divBdr>
        <w:top w:val="none" w:sz="0" w:space="0" w:color="auto"/>
        <w:left w:val="none" w:sz="0" w:space="0" w:color="auto"/>
        <w:bottom w:val="none" w:sz="0" w:space="0" w:color="auto"/>
        <w:right w:val="none" w:sz="0" w:space="0" w:color="auto"/>
      </w:divBdr>
      <w:divsChild>
        <w:div w:id="994993007">
          <w:marLeft w:val="480"/>
          <w:marRight w:val="0"/>
          <w:marTop w:val="0"/>
          <w:marBottom w:val="0"/>
          <w:divBdr>
            <w:top w:val="none" w:sz="0" w:space="0" w:color="auto"/>
            <w:left w:val="none" w:sz="0" w:space="0" w:color="auto"/>
            <w:bottom w:val="none" w:sz="0" w:space="0" w:color="auto"/>
            <w:right w:val="none" w:sz="0" w:space="0" w:color="auto"/>
          </w:divBdr>
        </w:div>
        <w:div w:id="814294792">
          <w:marLeft w:val="480"/>
          <w:marRight w:val="0"/>
          <w:marTop w:val="0"/>
          <w:marBottom w:val="0"/>
          <w:divBdr>
            <w:top w:val="none" w:sz="0" w:space="0" w:color="auto"/>
            <w:left w:val="none" w:sz="0" w:space="0" w:color="auto"/>
            <w:bottom w:val="none" w:sz="0" w:space="0" w:color="auto"/>
            <w:right w:val="none" w:sz="0" w:space="0" w:color="auto"/>
          </w:divBdr>
        </w:div>
      </w:divsChild>
    </w:div>
    <w:div w:id="1765110773">
      <w:bodyDiv w:val="1"/>
      <w:marLeft w:val="0"/>
      <w:marRight w:val="0"/>
      <w:marTop w:val="0"/>
      <w:marBottom w:val="0"/>
      <w:divBdr>
        <w:top w:val="none" w:sz="0" w:space="0" w:color="auto"/>
        <w:left w:val="none" w:sz="0" w:space="0" w:color="auto"/>
        <w:bottom w:val="none" w:sz="0" w:space="0" w:color="auto"/>
        <w:right w:val="none" w:sz="0" w:space="0" w:color="auto"/>
      </w:divBdr>
      <w:divsChild>
        <w:div w:id="173493095">
          <w:marLeft w:val="480"/>
          <w:marRight w:val="0"/>
          <w:marTop w:val="0"/>
          <w:marBottom w:val="0"/>
          <w:divBdr>
            <w:top w:val="none" w:sz="0" w:space="0" w:color="auto"/>
            <w:left w:val="none" w:sz="0" w:space="0" w:color="auto"/>
            <w:bottom w:val="none" w:sz="0" w:space="0" w:color="auto"/>
            <w:right w:val="none" w:sz="0" w:space="0" w:color="auto"/>
          </w:divBdr>
        </w:div>
        <w:div w:id="1179850675">
          <w:marLeft w:val="480"/>
          <w:marRight w:val="0"/>
          <w:marTop w:val="0"/>
          <w:marBottom w:val="0"/>
          <w:divBdr>
            <w:top w:val="none" w:sz="0" w:space="0" w:color="auto"/>
            <w:left w:val="none" w:sz="0" w:space="0" w:color="auto"/>
            <w:bottom w:val="none" w:sz="0" w:space="0" w:color="auto"/>
            <w:right w:val="none" w:sz="0" w:space="0" w:color="auto"/>
          </w:divBdr>
        </w:div>
        <w:div w:id="1172642657">
          <w:marLeft w:val="480"/>
          <w:marRight w:val="0"/>
          <w:marTop w:val="0"/>
          <w:marBottom w:val="0"/>
          <w:divBdr>
            <w:top w:val="none" w:sz="0" w:space="0" w:color="auto"/>
            <w:left w:val="none" w:sz="0" w:space="0" w:color="auto"/>
            <w:bottom w:val="none" w:sz="0" w:space="0" w:color="auto"/>
            <w:right w:val="none" w:sz="0" w:space="0" w:color="auto"/>
          </w:divBdr>
        </w:div>
        <w:div w:id="1897620747">
          <w:marLeft w:val="480"/>
          <w:marRight w:val="0"/>
          <w:marTop w:val="0"/>
          <w:marBottom w:val="0"/>
          <w:divBdr>
            <w:top w:val="none" w:sz="0" w:space="0" w:color="auto"/>
            <w:left w:val="none" w:sz="0" w:space="0" w:color="auto"/>
            <w:bottom w:val="none" w:sz="0" w:space="0" w:color="auto"/>
            <w:right w:val="none" w:sz="0" w:space="0" w:color="auto"/>
          </w:divBdr>
        </w:div>
        <w:div w:id="1901398986">
          <w:marLeft w:val="480"/>
          <w:marRight w:val="0"/>
          <w:marTop w:val="0"/>
          <w:marBottom w:val="0"/>
          <w:divBdr>
            <w:top w:val="none" w:sz="0" w:space="0" w:color="auto"/>
            <w:left w:val="none" w:sz="0" w:space="0" w:color="auto"/>
            <w:bottom w:val="none" w:sz="0" w:space="0" w:color="auto"/>
            <w:right w:val="none" w:sz="0" w:space="0" w:color="auto"/>
          </w:divBdr>
        </w:div>
        <w:div w:id="1100220309">
          <w:marLeft w:val="480"/>
          <w:marRight w:val="0"/>
          <w:marTop w:val="0"/>
          <w:marBottom w:val="0"/>
          <w:divBdr>
            <w:top w:val="none" w:sz="0" w:space="0" w:color="auto"/>
            <w:left w:val="none" w:sz="0" w:space="0" w:color="auto"/>
            <w:bottom w:val="none" w:sz="0" w:space="0" w:color="auto"/>
            <w:right w:val="none" w:sz="0" w:space="0" w:color="auto"/>
          </w:divBdr>
        </w:div>
        <w:div w:id="1969965391">
          <w:marLeft w:val="480"/>
          <w:marRight w:val="0"/>
          <w:marTop w:val="0"/>
          <w:marBottom w:val="0"/>
          <w:divBdr>
            <w:top w:val="none" w:sz="0" w:space="0" w:color="auto"/>
            <w:left w:val="none" w:sz="0" w:space="0" w:color="auto"/>
            <w:bottom w:val="none" w:sz="0" w:space="0" w:color="auto"/>
            <w:right w:val="none" w:sz="0" w:space="0" w:color="auto"/>
          </w:divBdr>
        </w:div>
        <w:div w:id="1808208573">
          <w:marLeft w:val="480"/>
          <w:marRight w:val="0"/>
          <w:marTop w:val="0"/>
          <w:marBottom w:val="0"/>
          <w:divBdr>
            <w:top w:val="none" w:sz="0" w:space="0" w:color="auto"/>
            <w:left w:val="none" w:sz="0" w:space="0" w:color="auto"/>
            <w:bottom w:val="none" w:sz="0" w:space="0" w:color="auto"/>
            <w:right w:val="none" w:sz="0" w:space="0" w:color="auto"/>
          </w:divBdr>
        </w:div>
        <w:div w:id="1536456738">
          <w:marLeft w:val="480"/>
          <w:marRight w:val="0"/>
          <w:marTop w:val="0"/>
          <w:marBottom w:val="0"/>
          <w:divBdr>
            <w:top w:val="none" w:sz="0" w:space="0" w:color="auto"/>
            <w:left w:val="none" w:sz="0" w:space="0" w:color="auto"/>
            <w:bottom w:val="none" w:sz="0" w:space="0" w:color="auto"/>
            <w:right w:val="none" w:sz="0" w:space="0" w:color="auto"/>
          </w:divBdr>
        </w:div>
      </w:divsChild>
    </w:div>
    <w:div w:id="1788692017">
      <w:bodyDiv w:val="1"/>
      <w:marLeft w:val="0"/>
      <w:marRight w:val="0"/>
      <w:marTop w:val="0"/>
      <w:marBottom w:val="0"/>
      <w:divBdr>
        <w:top w:val="none" w:sz="0" w:space="0" w:color="auto"/>
        <w:left w:val="none" w:sz="0" w:space="0" w:color="auto"/>
        <w:bottom w:val="none" w:sz="0" w:space="0" w:color="auto"/>
        <w:right w:val="none" w:sz="0" w:space="0" w:color="auto"/>
      </w:divBdr>
    </w:div>
    <w:div w:id="1816875436">
      <w:bodyDiv w:val="1"/>
      <w:marLeft w:val="0"/>
      <w:marRight w:val="0"/>
      <w:marTop w:val="0"/>
      <w:marBottom w:val="0"/>
      <w:divBdr>
        <w:top w:val="none" w:sz="0" w:space="0" w:color="auto"/>
        <w:left w:val="none" w:sz="0" w:space="0" w:color="auto"/>
        <w:bottom w:val="none" w:sz="0" w:space="0" w:color="auto"/>
        <w:right w:val="none" w:sz="0" w:space="0" w:color="auto"/>
      </w:divBdr>
      <w:divsChild>
        <w:div w:id="646671521">
          <w:marLeft w:val="480"/>
          <w:marRight w:val="0"/>
          <w:marTop w:val="0"/>
          <w:marBottom w:val="0"/>
          <w:divBdr>
            <w:top w:val="none" w:sz="0" w:space="0" w:color="auto"/>
            <w:left w:val="none" w:sz="0" w:space="0" w:color="auto"/>
            <w:bottom w:val="none" w:sz="0" w:space="0" w:color="auto"/>
            <w:right w:val="none" w:sz="0" w:space="0" w:color="auto"/>
          </w:divBdr>
        </w:div>
        <w:div w:id="1924952300">
          <w:marLeft w:val="480"/>
          <w:marRight w:val="0"/>
          <w:marTop w:val="0"/>
          <w:marBottom w:val="0"/>
          <w:divBdr>
            <w:top w:val="none" w:sz="0" w:space="0" w:color="auto"/>
            <w:left w:val="none" w:sz="0" w:space="0" w:color="auto"/>
            <w:bottom w:val="none" w:sz="0" w:space="0" w:color="auto"/>
            <w:right w:val="none" w:sz="0" w:space="0" w:color="auto"/>
          </w:divBdr>
        </w:div>
        <w:div w:id="1071540503">
          <w:marLeft w:val="480"/>
          <w:marRight w:val="0"/>
          <w:marTop w:val="0"/>
          <w:marBottom w:val="0"/>
          <w:divBdr>
            <w:top w:val="none" w:sz="0" w:space="0" w:color="auto"/>
            <w:left w:val="none" w:sz="0" w:space="0" w:color="auto"/>
            <w:bottom w:val="none" w:sz="0" w:space="0" w:color="auto"/>
            <w:right w:val="none" w:sz="0" w:space="0" w:color="auto"/>
          </w:divBdr>
        </w:div>
        <w:div w:id="1154294401">
          <w:marLeft w:val="480"/>
          <w:marRight w:val="0"/>
          <w:marTop w:val="0"/>
          <w:marBottom w:val="0"/>
          <w:divBdr>
            <w:top w:val="none" w:sz="0" w:space="0" w:color="auto"/>
            <w:left w:val="none" w:sz="0" w:space="0" w:color="auto"/>
            <w:bottom w:val="none" w:sz="0" w:space="0" w:color="auto"/>
            <w:right w:val="none" w:sz="0" w:space="0" w:color="auto"/>
          </w:divBdr>
        </w:div>
        <w:div w:id="797338866">
          <w:marLeft w:val="480"/>
          <w:marRight w:val="0"/>
          <w:marTop w:val="0"/>
          <w:marBottom w:val="0"/>
          <w:divBdr>
            <w:top w:val="none" w:sz="0" w:space="0" w:color="auto"/>
            <w:left w:val="none" w:sz="0" w:space="0" w:color="auto"/>
            <w:bottom w:val="none" w:sz="0" w:space="0" w:color="auto"/>
            <w:right w:val="none" w:sz="0" w:space="0" w:color="auto"/>
          </w:divBdr>
        </w:div>
        <w:div w:id="396361917">
          <w:marLeft w:val="480"/>
          <w:marRight w:val="0"/>
          <w:marTop w:val="0"/>
          <w:marBottom w:val="0"/>
          <w:divBdr>
            <w:top w:val="none" w:sz="0" w:space="0" w:color="auto"/>
            <w:left w:val="none" w:sz="0" w:space="0" w:color="auto"/>
            <w:bottom w:val="none" w:sz="0" w:space="0" w:color="auto"/>
            <w:right w:val="none" w:sz="0" w:space="0" w:color="auto"/>
          </w:divBdr>
        </w:div>
        <w:div w:id="1659991104">
          <w:marLeft w:val="480"/>
          <w:marRight w:val="0"/>
          <w:marTop w:val="0"/>
          <w:marBottom w:val="0"/>
          <w:divBdr>
            <w:top w:val="none" w:sz="0" w:space="0" w:color="auto"/>
            <w:left w:val="none" w:sz="0" w:space="0" w:color="auto"/>
            <w:bottom w:val="none" w:sz="0" w:space="0" w:color="auto"/>
            <w:right w:val="none" w:sz="0" w:space="0" w:color="auto"/>
          </w:divBdr>
        </w:div>
        <w:div w:id="1636447074">
          <w:marLeft w:val="480"/>
          <w:marRight w:val="0"/>
          <w:marTop w:val="0"/>
          <w:marBottom w:val="0"/>
          <w:divBdr>
            <w:top w:val="none" w:sz="0" w:space="0" w:color="auto"/>
            <w:left w:val="none" w:sz="0" w:space="0" w:color="auto"/>
            <w:bottom w:val="none" w:sz="0" w:space="0" w:color="auto"/>
            <w:right w:val="none" w:sz="0" w:space="0" w:color="auto"/>
          </w:divBdr>
        </w:div>
        <w:div w:id="1460614128">
          <w:marLeft w:val="480"/>
          <w:marRight w:val="0"/>
          <w:marTop w:val="0"/>
          <w:marBottom w:val="0"/>
          <w:divBdr>
            <w:top w:val="none" w:sz="0" w:space="0" w:color="auto"/>
            <w:left w:val="none" w:sz="0" w:space="0" w:color="auto"/>
            <w:bottom w:val="none" w:sz="0" w:space="0" w:color="auto"/>
            <w:right w:val="none" w:sz="0" w:space="0" w:color="auto"/>
          </w:divBdr>
        </w:div>
        <w:div w:id="681592783">
          <w:marLeft w:val="480"/>
          <w:marRight w:val="0"/>
          <w:marTop w:val="0"/>
          <w:marBottom w:val="0"/>
          <w:divBdr>
            <w:top w:val="none" w:sz="0" w:space="0" w:color="auto"/>
            <w:left w:val="none" w:sz="0" w:space="0" w:color="auto"/>
            <w:bottom w:val="none" w:sz="0" w:space="0" w:color="auto"/>
            <w:right w:val="none" w:sz="0" w:space="0" w:color="auto"/>
          </w:divBdr>
        </w:div>
        <w:div w:id="1879271860">
          <w:marLeft w:val="480"/>
          <w:marRight w:val="0"/>
          <w:marTop w:val="0"/>
          <w:marBottom w:val="0"/>
          <w:divBdr>
            <w:top w:val="none" w:sz="0" w:space="0" w:color="auto"/>
            <w:left w:val="none" w:sz="0" w:space="0" w:color="auto"/>
            <w:bottom w:val="none" w:sz="0" w:space="0" w:color="auto"/>
            <w:right w:val="none" w:sz="0" w:space="0" w:color="auto"/>
          </w:divBdr>
        </w:div>
        <w:div w:id="1310942409">
          <w:marLeft w:val="480"/>
          <w:marRight w:val="0"/>
          <w:marTop w:val="0"/>
          <w:marBottom w:val="0"/>
          <w:divBdr>
            <w:top w:val="none" w:sz="0" w:space="0" w:color="auto"/>
            <w:left w:val="none" w:sz="0" w:space="0" w:color="auto"/>
            <w:bottom w:val="none" w:sz="0" w:space="0" w:color="auto"/>
            <w:right w:val="none" w:sz="0" w:space="0" w:color="auto"/>
          </w:divBdr>
        </w:div>
        <w:div w:id="496195039">
          <w:marLeft w:val="480"/>
          <w:marRight w:val="0"/>
          <w:marTop w:val="0"/>
          <w:marBottom w:val="0"/>
          <w:divBdr>
            <w:top w:val="none" w:sz="0" w:space="0" w:color="auto"/>
            <w:left w:val="none" w:sz="0" w:space="0" w:color="auto"/>
            <w:bottom w:val="none" w:sz="0" w:space="0" w:color="auto"/>
            <w:right w:val="none" w:sz="0" w:space="0" w:color="auto"/>
          </w:divBdr>
        </w:div>
        <w:div w:id="2037341115">
          <w:marLeft w:val="480"/>
          <w:marRight w:val="0"/>
          <w:marTop w:val="0"/>
          <w:marBottom w:val="0"/>
          <w:divBdr>
            <w:top w:val="none" w:sz="0" w:space="0" w:color="auto"/>
            <w:left w:val="none" w:sz="0" w:space="0" w:color="auto"/>
            <w:bottom w:val="none" w:sz="0" w:space="0" w:color="auto"/>
            <w:right w:val="none" w:sz="0" w:space="0" w:color="auto"/>
          </w:divBdr>
        </w:div>
        <w:div w:id="1059985943">
          <w:marLeft w:val="480"/>
          <w:marRight w:val="0"/>
          <w:marTop w:val="0"/>
          <w:marBottom w:val="0"/>
          <w:divBdr>
            <w:top w:val="none" w:sz="0" w:space="0" w:color="auto"/>
            <w:left w:val="none" w:sz="0" w:space="0" w:color="auto"/>
            <w:bottom w:val="none" w:sz="0" w:space="0" w:color="auto"/>
            <w:right w:val="none" w:sz="0" w:space="0" w:color="auto"/>
          </w:divBdr>
        </w:div>
      </w:divsChild>
    </w:div>
    <w:div w:id="1883519806">
      <w:bodyDiv w:val="1"/>
      <w:marLeft w:val="0"/>
      <w:marRight w:val="0"/>
      <w:marTop w:val="0"/>
      <w:marBottom w:val="0"/>
      <w:divBdr>
        <w:top w:val="none" w:sz="0" w:space="0" w:color="auto"/>
        <w:left w:val="none" w:sz="0" w:space="0" w:color="auto"/>
        <w:bottom w:val="none" w:sz="0" w:space="0" w:color="auto"/>
        <w:right w:val="none" w:sz="0" w:space="0" w:color="auto"/>
      </w:divBdr>
      <w:divsChild>
        <w:div w:id="868376961">
          <w:marLeft w:val="480"/>
          <w:marRight w:val="0"/>
          <w:marTop w:val="0"/>
          <w:marBottom w:val="0"/>
          <w:divBdr>
            <w:top w:val="none" w:sz="0" w:space="0" w:color="auto"/>
            <w:left w:val="none" w:sz="0" w:space="0" w:color="auto"/>
            <w:bottom w:val="none" w:sz="0" w:space="0" w:color="auto"/>
            <w:right w:val="none" w:sz="0" w:space="0" w:color="auto"/>
          </w:divBdr>
        </w:div>
        <w:div w:id="875652907">
          <w:marLeft w:val="480"/>
          <w:marRight w:val="0"/>
          <w:marTop w:val="0"/>
          <w:marBottom w:val="0"/>
          <w:divBdr>
            <w:top w:val="none" w:sz="0" w:space="0" w:color="auto"/>
            <w:left w:val="none" w:sz="0" w:space="0" w:color="auto"/>
            <w:bottom w:val="none" w:sz="0" w:space="0" w:color="auto"/>
            <w:right w:val="none" w:sz="0" w:space="0" w:color="auto"/>
          </w:divBdr>
        </w:div>
        <w:div w:id="4719030">
          <w:marLeft w:val="480"/>
          <w:marRight w:val="0"/>
          <w:marTop w:val="0"/>
          <w:marBottom w:val="0"/>
          <w:divBdr>
            <w:top w:val="none" w:sz="0" w:space="0" w:color="auto"/>
            <w:left w:val="none" w:sz="0" w:space="0" w:color="auto"/>
            <w:bottom w:val="none" w:sz="0" w:space="0" w:color="auto"/>
            <w:right w:val="none" w:sz="0" w:space="0" w:color="auto"/>
          </w:divBdr>
        </w:div>
        <w:div w:id="954021944">
          <w:marLeft w:val="480"/>
          <w:marRight w:val="0"/>
          <w:marTop w:val="0"/>
          <w:marBottom w:val="0"/>
          <w:divBdr>
            <w:top w:val="none" w:sz="0" w:space="0" w:color="auto"/>
            <w:left w:val="none" w:sz="0" w:space="0" w:color="auto"/>
            <w:bottom w:val="none" w:sz="0" w:space="0" w:color="auto"/>
            <w:right w:val="none" w:sz="0" w:space="0" w:color="auto"/>
          </w:divBdr>
        </w:div>
        <w:div w:id="1592540217">
          <w:marLeft w:val="480"/>
          <w:marRight w:val="0"/>
          <w:marTop w:val="0"/>
          <w:marBottom w:val="0"/>
          <w:divBdr>
            <w:top w:val="none" w:sz="0" w:space="0" w:color="auto"/>
            <w:left w:val="none" w:sz="0" w:space="0" w:color="auto"/>
            <w:bottom w:val="none" w:sz="0" w:space="0" w:color="auto"/>
            <w:right w:val="none" w:sz="0" w:space="0" w:color="auto"/>
          </w:divBdr>
        </w:div>
        <w:div w:id="2098597497">
          <w:marLeft w:val="480"/>
          <w:marRight w:val="0"/>
          <w:marTop w:val="0"/>
          <w:marBottom w:val="0"/>
          <w:divBdr>
            <w:top w:val="none" w:sz="0" w:space="0" w:color="auto"/>
            <w:left w:val="none" w:sz="0" w:space="0" w:color="auto"/>
            <w:bottom w:val="none" w:sz="0" w:space="0" w:color="auto"/>
            <w:right w:val="none" w:sz="0" w:space="0" w:color="auto"/>
          </w:divBdr>
        </w:div>
        <w:div w:id="857038190">
          <w:marLeft w:val="480"/>
          <w:marRight w:val="0"/>
          <w:marTop w:val="0"/>
          <w:marBottom w:val="0"/>
          <w:divBdr>
            <w:top w:val="none" w:sz="0" w:space="0" w:color="auto"/>
            <w:left w:val="none" w:sz="0" w:space="0" w:color="auto"/>
            <w:bottom w:val="none" w:sz="0" w:space="0" w:color="auto"/>
            <w:right w:val="none" w:sz="0" w:space="0" w:color="auto"/>
          </w:divBdr>
        </w:div>
        <w:div w:id="2057386882">
          <w:marLeft w:val="480"/>
          <w:marRight w:val="0"/>
          <w:marTop w:val="0"/>
          <w:marBottom w:val="0"/>
          <w:divBdr>
            <w:top w:val="none" w:sz="0" w:space="0" w:color="auto"/>
            <w:left w:val="none" w:sz="0" w:space="0" w:color="auto"/>
            <w:bottom w:val="none" w:sz="0" w:space="0" w:color="auto"/>
            <w:right w:val="none" w:sz="0" w:space="0" w:color="auto"/>
          </w:divBdr>
        </w:div>
        <w:div w:id="159721">
          <w:marLeft w:val="480"/>
          <w:marRight w:val="0"/>
          <w:marTop w:val="0"/>
          <w:marBottom w:val="0"/>
          <w:divBdr>
            <w:top w:val="none" w:sz="0" w:space="0" w:color="auto"/>
            <w:left w:val="none" w:sz="0" w:space="0" w:color="auto"/>
            <w:bottom w:val="none" w:sz="0" w:space="0" w:color="auto"/>
            <w:right w:val="none" w:sz="0" w:space="0" w:color="auto"/>
          </w:divBdr>
        </w:div>
      </w:divsChild>
    </w:div>
    <w:div w:id="1886136824">
      <w:bodyDiv w:val="1"/>
      <w:marLeft w:val="0"/>
      <w:marRight w:val="0"/>
      <w:marTop w:val="0"/>
      <w:marBottom w:val="0"/>
      <w:divBdr>
        <w:top w:val="none" w:sz="0" w:space="0" w:color="auto"/>
        <w:left w:val="none" w:sz="0" w:space="0" w:color="auto"/>
        <w:bottom w:val="none" w:sz="0" w:space="0" w:color="auto"/>
        <w:right w:val="none" w:sz="0" w:space="0" w:color="auto"/>
      </w:divBdr>
      <w:divsChild>
        <w:div w:id="1170755760">
          <w:marLeft w:val="480"/>
          <w:marRight w:val="0"/>
          <w:marTop w:val="0"/>
          <w:marBottom w:val="0"/>
          <w:divBdr>
            <w:top w:val="none" w:sz="0" w:space="0" w:color="auto"/>
            <w:left w:val="none" w:sz="0" w:space="0" w:color="auto"/>
            <w:bottom w:val="none" w:sz="0" w:space="0" w:color="auto"/>
            <w:right w:val="none" w:sz="0" w:space="0" w:color="auto"/>
          </w:divBdr>
        </w:div>
        <w:div w:id="524056446">
          <w:marLeft w:val="480"/>
          <w:marRight w:val="0"/>
          <w:marTop w:val="0"/>
          <w:marBottom w:val="0"/>
          <w:divBdr>
            <w:top w:val="none" w:sz="0" w:space="0" w:color="auto"/>
            <w:left w:val="none" w:sz="0" w:space="0" w:color="auto"/>
            <w:bottom w:val="none" w:sz="0" w:space="0" w:color="auto"/>
            <w:right w:val="none" w:sz="0" w:space="0" w:color="auto"/>
          </w:divBdr>
        </w:div>
        <w:div w:id="1039745844">
          <w:marLeft w:val="480"/>
          <w:marRight w:val="0"/>
          <w:marTop w:val="0"/>
          <w:marBottom w:val="0"/>
          <w:divBdr>
            <w:top w:val="none" w:sz="0" w:space="0" w:color="auto"/>
            <w:left w:val="none" w:sz="0" w:space="0" w:color="auto"/>
            <w:bottom w:val="none" w:sz="0" w:space="0" w:color="auto"/>
            <w:right w:val="none" w:sz="0" w:space="0" w:color="auto"/>
          </w:divBdr>
        </w:div>
        <w:div w:id="1132020931">
          <w:marLeft w:val="480"/>
          <w:marRight w:val="0"/>
          <w:marTop w:val="0"/>
          <w:marBottom w:val="0"/>
          <w:divBdr>
            <w:top w:val="none" w:sz="0" w:space="0" w:color="auto"/>
            <w:left w:val="none" w:sz="0" w:space="0" w:color="auto"/>
            <w:bottom w:val="none" w:sz="0" w:space="0" w:color="auto"/>
            <w:right w:val="none" w:sz="0" w:space="0" w:color="auto"/>
          </w:divBdr>
        </w:div>
        <w:div w:id="2074037869">
          <w:marLeft w:val="480"/>
          <w:marRight w:val="0"/>
          <w:marTop w:val="0"/>
          <w:marBottom w:val="0"/>
          <w:divBdr>
            <w:top w:val="none" w:sz="0" w:space="0" w:color="auto"/>
            <w:left w:val="none" w:sz="0" w:space="0" w:color="auto"/>
            <w:bottom w:val="none" w:sz="0" w:space="0" w:color="auto"/>
            <w:right w:val="none" w:sz="0" w:space="0" w:color="auto"/>
          </w:divBdr>
        </w:div>
        <w:div w:id="961307077">
          <w:marLeft w:val="480"/>
          <w:marRight w:val="0"/>
          <w:marTop w:val="0"/>
          <w:marBottom w:val="0"/>
          <w:divBdr>
            <w:top w:val="none" w:sz="0" w:space="0" w:color="auto"/>
            <w:left w:val="none" w:sz="0" w:space="0" w:color="auto"/>
            <w:bottom w:val="none" w:sz="0" w:space="0" w:color="auto"/>
            <w:right w:val="none" w:sz="0" w:space="0" w:color="auto"/>
          </w:divBdr>
        </w:div>
      </w:divsChild>
    </w:div>
    <w:div w:id="1946884299">
      <w:bodyDiv w:val="1"/>
      <w:marLeft w:val="0"/>
      <w:marRight w:val="0"/>
      <w:marTop w:val="0"/>
      <w:marBottom w:val="0"/>
      <w:divBdr>
        <w:top w:val="none" w:sz="0" w:space="0" w:color="auto"/>
        <w:left w:val="none" w:sz="0" w:space="0" w:color="auto"/>
        <w:bottom w:val="none" w:sz="0" w:space="0" w:color="auto"/>
        <w:right w:val="none" w:sz="0" w:space="0" w:color="auto"/>
      </w:divBdr>
      <w:divsChild>
        <w:div w:id="1761756223">
          <w:marLeft w:val="480"/>
          <w:marRight w:val="0"/>
          <w:marTop w:val="0"/>
          <w:marBottom w:val="0"/>
          <w:divBdr>
            <w:top w:val="none" w:sz="0" w:space="0" w:color="auto"/>
            <w:left w:val="none" w:sz="0" w:space="0" w:color="auto"/>
            <w:bottom w:val="none" w:sz="0" w:space="0" w:color="auto"/>
            <w:right w:val="none" w:sz="0" w:space="0" w:color="auto"/>
          </w:divBdr>
        </w:div>
        <w:div w:id="844635870">
          <w:marLeft w:val="480"/>
          <w:marRight w:val="0"/>
          <w:marTop w:val="0"/>
          <w:marBottom w:val="0"/>
          <w:divBdr>
            <w:top w:val="none" w:sz="0" w:space="0" w:color="auto"/>
            <w:left w:val="none" w:sz="0" w:space="0" w:color="auto"/>
            <w:bottom w:val="none" w:sz="0" w:space="0" w:color="auto"/>
            <w:right w:val="none" w:sz="0" w:space="0" w:color="auto"/>
          </w:divBdr>
        </w:div>
        <w:div w:id="1052731946">
          <w:marLeft w:val="480"/>
          <w:marRight w:val="0"/>
          <w:marTop w:val="0"/>
          <w:marBottom w:val="0"/>
          <w:divBdr>
            <w:top w:val="none" w:sz="0" w:space="0" w:color="auto"/>
            <w:left w:val="none" w:sz="0" w:space="0" w:color="auto"/>
            <w:bottom w:val="none" w:sz="0" w:space="0" w:color="auto"/>
            <w:right w:val="none" w:sz="0" w:space="0" w:color="auto"/>
          </w:divBdr>
        </w:div>
        <w:div w:id="1995911524">
          <w:marLeft w:val="480"/>
          <w:marRight w:val="0"/>
          <w:marTop w:val="0"/>
          <w:marBottom w:val="0"/>
          <w:divBdr>
            <w:top w:val="none" w:sz="0" w:space="0" w:color="auto"/>
            <w:left w:val="none" w:sz="0" w:space="0" w:color="auto"/>
            <w:bottom w:val="none" w:sz="0" w:space="0" w:color="auto"/>
            <w:right w:val="none" w:sz="0" w:space="0" w:color="auto"/>
          </w:divBdr>
        </w:div>
        <w:div w:id="1321424196">
          <w:marLeft w:val="480"/>
          <w:marRight w:val="0"/>
          <w:marTop w:val="0"/>
          <w:marBottom w:val="0"/>
          <w:divBdr>
            <w:top w:val="none" w:sz="0" w:space="0" w:color="auto"/>
            <w:left w:val="none" w:sz="0" w:space="0" w:color="auto"/>
            <w:bottom w:val="none" w:sz="0" w:space="0" w:color="auto"/>
            <w:right w:val="none" w:sz="0" w:space="0" w:color="auto"/>
          </w:divBdr>
        </w:div>
        <w:div w:id="795559649">
          <w:marLeft w:val="480"/>
          <w:marRight w:val="0"/>
          <w:marTop w:val="0"/>
          <w:marBottom w:val="0"/>
          <w:divBdr>
            <w:top w:val="none" w:sz="0" w:space="0" w:color="auto"/>
            <w:left w:val="none" w:sz="0" w:space="0" w:color="auto"/>
            <w:bottom w:val="none" w:sz="0" w:space="0" w:color="auto"/>
            <w:right w:val="none" w:sz="0" w:space="0" w:color="auto"/>
          </w:divBdr>
        </w:div>
        <w:div w:id="1258244668">
          <w:marLeft w:val="480"/>
          <w:marRight w:val="0"/>
          <w:marTop w:val="0"/>
          <w:marBottom w:val="0"/>
          <w:divBdr>
            <w:top w:val="none" w:sz="0" w:space="0" w:color="auto"/>
            <w:left w:val="none" w:sz="0" w:space="0" w:color="auto"/>
            <w:bottom w:val="none" w:sz="0" w:space="0" w:color="auto"/>
            <w:right w:val="none" w:sz="0" w:space="0" w:color="auto"/>
          </w:divBdr>
        </w:div>
      </w:divsChild>
    </w:div>
    <w:div w:id="1952007040">
      <w:bodyDiv w:val="1"/>
      <w:marLeft w:val="0"/>
      <w:marRight w:val="0"/>
      <w:marTop w:val="0"/>
      <w:marBottom w:val="0"/>
      <w:divBdr>
        <w:top w:val="none" w:sz="0" w:space="0" w:color="auto"/>
        <w:left w:val="none" w:sz="0" w:space="0" w:color="auto"/>
        <w:bottom w:val="none" w:sz="0" w:space="0" w:color="auto"/>
        <w:right w:val="none" w:sz="0" w:space="0" w:color="auto"/>
      </w:divBdr>
      <w:divsChild>
        <w:div w:id="932320476">
          <w:marLeft w:val="480"/>
          <w:marRight w:val="0"/>
          <w:marTop w:val="0"/>
          <w:marBottom w:val="0"/>
          <w:divBdr>
            <w:top w:val="none" w:sz="0" w:space="0" w:color="auto"/>
            <w:left w:val="none" w:sz="0" w:space="0" w:color="auto"/>
            <w:bottom w:val="none" w:sz="0" w:space="0" w:color="auto"/>
            <w:right w:val="none" w:sz="0" w:space="0" w:color="auto"/>
          </w:divBdr>
        </w:div>
        <w:div w:id="970743670">
          <w:marLeft w:val="480"/>
          <w:marRight w:val="0"/>
          <w:marTop w:val="0"/>
          <w:marBottom w:val="0"/>
          <w:divBdr>
            <w:top w:val="none" w:sz="0" w:space="0" w:color="auto"/>
            <w:left w:val="none" w:sz="0" w:space="0" w:color="auto"/>
            <w:bottom w:val="none" w:sz="0" w:space="0" w:color="auto"/>
            <w:right w:val="none" w:sz="0" w:space="0" w:color="auto"/>
          </w:divBdr>
        </w:div>
        <w:div w:id="1627738949">
          <w:marLeft w:val="480"/>
          <w:marRight w:val="0"/>
          <w:marTop w:val="0"/>
          <w:marBottom w:val="0"/>
          <w:divBdr>
            <w:top w:val="none" w:sz="0" w:space="0" w:color="auto"/>
            <w:left w:val="none" w:sz="0" w:space="0" w:color="auto"/>
            <w:bottom w:val="none" w:sz="0" w:space="0" w:color="auto"/>
            <w:right w:val="none" w:sz="0" w:space="0" w:color="auto"/>
          </w:divBdr>
        </w:div>
        <w:div w:id="320622084">
          <w:marLeft w:val="480"/>
          <w:marRight w:val="0"/>
          <w:marTop w:val="0"/>
          <w:marBottom w:val="0"/>
          <w:divBdr>
            <w:top w:val="none" w:sz="0" w:space="0" w:color="auto"/>
            <w:left w:val="none" w:sz="0" w:space="0" w:color="auto"/>
            <w:bottom w:val="none" w:sz="0" w:space="0" w:color="auto"/>
            <w:right w:val="none" w:sz="0" w:space="0" w:color="auto"/>
          </w:divBdr>
        </w:div>
        <w:div w:id="2103717537">
          <w:marLeft w:val="480"/>
          <w:marRight w:val="0"/>
          <w:marTop w:val="0"/>
          <w:marBottom w:val="0"/>
          <w:divBdr>
            <w:top w:val="none" w:sz="0" w:space="0" w:color="auto"/>
            <w:left w:val="none" w:sz="0" w:space="0" w:color="auto"/>
            <w:bottom w:val="none" w:sz="0" w:space="0" w:color="auto"/>
            <w:right w:val="none" w:sz="0" w:space="0" w:color="auto"/>
          </w:divBdr>
        </w:div>
      </w:divsChild>
    </w:div>
    <w:div w:id="1952975778">
      <w:bodyDiv w:val="1"/>
      <w:marLeft w:val="0"/>
      <w:marRight w:val="0"/>
      <w:marTop w:val="0"/>
      <w:marBottom w:val="0"/>
      <w:divBdr>
        <w:top w:val="none" w:sz="0" w:space="0" w:color="auto"/>
        <w:left w:val="none" w:sz="0" w:space="0" w:color="auto"/>
        <w:bottom w:val="none" w:sz="0" w:space="0" w:color="auto"/>
        <w:right w:val="none" w:sz="0" w:space="0" w:color="auto"/>
      </w:divBdr>
    </w:div>
    <w:div w:id="1960798794">
      <w:bodyDiv w:val="1"/>
      <w:marLeft w:val="0"/>
      <w:marRight w:val="0"/>
      <w:marTop w:val="0"/>
      <w:marBottom w:val="0"/>
      <w:divBdr>
        <w:top w:val="none" w:sz="0" w:space="0" w:color="auto"/>
        <w:left w:val="none" w:sz="0" w:space="0" w:color="auto"/>
        <w:bottom w:val="none" w:sz="0" w:space="0" w:color="auto"/>
        <w:right w:val="none" w:sz="0" w:space="0" w:color="auto"/>
      </w:divBdr>
      <w:divsChild>
        <w:div w:id="2045401454">
          <w:marLeft w:val="480"/>
          <w:marRight w:val="0"/>
          <w:marTop w:val="0"/>
          <w:marBottom w:val="0"/>
          <w:divBdr>
            <w:top w:val="none" w:sz="0" w:space="0" w:color="auto"/>
            <w:left w:val="none" w:sz="0" w:space="0" w:color="auto"/>
            <w:bottom w:val="none" w:sz="0" w:space="0" w:color="auto"/>
            <w:right w:val="none" w:sz="0" w:space="0" w:color="auto"/>
          </w:divBdr>
        </w:div>
        <w:div w:id="1718434095">
          <w:marLeft w:val="480"/>
          <w:marRight w:val="0"/>
          <w:marTop w:val="0"/>
          <w:marBottom w:val="0"/>
          <w:divBdr>
            <w:top w:val="none" w:sz="0" w:space="0" w:color="auto"/>
            <w:left w:val="none" w:sz="0" w:space="0" w:color="auto"/>
            <w:bottom w:val="none" w:sz="0" w:space="0" w:color="auto"/>
            <w:right w:val="none" w:sz="0" w:space="0" w:color="auto"/>
          </w:divBdr>
        </w:div>
        <w:div w:id="1627002299">
          <w:marLeft w:val="480"/>
          <w:marRight w:val="0"/>
          <w:marTop w:val="0"/>
          <w:marBottom w:val="0"/>
          <w:divBdr>
            <w:top w:val="none" w:sz="0" w:space="0" w:color="auto"/>
            <w:left w:val="none" w:sz="0" w:space="0" w:color="auto"/>
            <w:bottom w:val="none" w:sz="0" w:space="0" w:color="auto"/>
            <w:right w:val="none" w:sz="0" w:space="0" w:color="auto"/>
          </w:divBdr>
        </w:div>
        <w:div w:id="597714859">
          <w:marLeft w:val="480"/>
          <w:marRight w:val="0"/>
          <w:marTop w:val="0"/>
          <w:marBottom w:val="0"/>
          <w:divBdr>
            <w:top w:val="none" w:sz="0" w:space="0" w:color="auto"/>
            <w:left w:val="none" w:sz="0" w:space="0" w:color="auto"/>
            <w:bottom w:val="none" w:sz="0" w:space="0" w:color="auto"/>
            <w:right w:val="none" w:sz="0" w:space="0" w:color="auto"/>
          </w:divBdr>
        </w:div>
        <w:div w:id="840893200">
          <w:marLeft w:val="480"/>
          <w:marRight w:val="0"/>
          <w:marTop w:val="0"/>
          <w:marBottom w:val="0"/>
          <w:divBdr>
            <w:top w:val="none" w:sz="0" w:space="0" w:color="auto"/>
            <w:left w:val="none" w:sz="0" w:space="0" w:color="auto"/>
            <w:bottom w:val="none" w:sz="0" w:space="0" w:color="auto"/>
            <w:right w:val="none" w:sz="0" w:space="0" w:color="auto"/>
          </w:divBdr>
        </w:div>
        <w:div w:id="355082822">
          <w:marLeft w:val="480"/>
          <w:marRight w:val="0"/>
          <w:marTop w:val="0"/>
          <w:marBottom w:val="0"/>
          <w:divBdr>
            <w:top w:val="none" w:sz="0" w:space="0" w:color="auto"/>
            <w:left w:val="none" w:sz="0" w:space="0" w:color="auto"/>
            <w:bottom w:val="none" w:sz="0" w:space="0" w:color="auto"/>
            <w:right w:val="none" w:sz="0" w:space="0" w:color="auto"/>
          </w:divBdr>
        </w:div>
      </w:divsChild>
    </w:div>
    <w:div w:id="1991908316">
      <w:bodyDiv w:val="1"/>
      <w:marLeft w:val="0"/>
      <w:marRight w:val="0"/>
      <w:marTop w:val="0"/>
      <w:marBottom w:val="0"/>
      <w:divBdr>
        <w:top w:val="none" w:sz="0" w:space="0" w:color="auto"/>
        <w:left w:val="none" w:sz="0" w:space="0" w:color="auto"/>
        <w:bottom w:val="none" w:sz="0" w:space="0" w:color="auto"/>
        <w:right w:val="none" w:sz="0" w:space="0" w:color="auto"/>
      </w:divBdr>
      <w:divsChild>
        <w:div w:id="1576357010">
          <w:marLeft w:val="480"/>
          <w:marRight w:val="0"/>
          <w:marTop w:val="0"/>
          <w:marBottom w:val="0"/>
          <w:divBdr>
            <w:top w:val="none" w:sz="0" w:space="0" w:color="auto"/>
            <w:left w:val="none" w:sz="0" w:space="0" w:color="auto"/>
            <w:bottom w:val="none" w:sz="0" w:space="0" w:color="auto"/>
            <w:right w:val="none" w:sz="0" w:space="0" w:color="auto"/>
          </w:divBdr>
        </w:div>
        <w:div w:id="729034837">
          <w:marLeft w:val="480"/>
          <w:marRight w:val="0"/>
          <w:marTop w:val="0"/>
          <w:marBottom w:val="0"/>
          <w:divBdr>
            <w:top w:val="none" w:sz="0" w:space="0" w:color="auto"/>
            <w:left w:val="none" w:sz="0" w:space="0" w:color="auto"/>
            <w:bottom w:val="none" w:sz="0" w:space="0" w:color="auto"/>
            <w:right w:val="none" w:sz="0" w:space="0" w:color="auto"/>
          </w:divBdr>
        </w:div>
        <w:div w:id="1253666815">
          <w:marLeft w:val="480"/>
          <w:marRight w:val="0"/>
          <w:marTop w:val="0"/>
          <w:marBottom w:val="0"/>
          <w:divBdr>
            <w:top w:val="none" w:sz="0" w:space="0" w:color="auto"/>
            <w:left w:val="none" w:sz="0" w:space="0" w:color="auto"/>
            <w:bottom w:val="none" w:sz="0" w:space="0" w:color="auto"/>
            <w:right w:val="none" w:sz="0" w:space="0" w:color="auto"/>
          </w:divBdr>
        </w:div>
        <w:div w:id="1132558433">
          <w:marLeft w:val="480"/>
          <w:marRight w:val="0"/>
          <w:marTop w:val="0"/>
          <w:marBottom w:val="0"/>
          <w:divBdr>
            <w:top w:val="none" w:sz="0" w:space="0" w:color="auto"/>
            <w:left w:val="none" w:sz="0" w:space="0" w:color="auto"/>
            <w:bottom w:val="none" w:sz="0" w:space="0" w:color="auto"/>
            <w:right w:val="none" w:sz="0" w:space="0" w:color="auto"/>
          </w:divBdr>
        </w:div>
        <w:div w:id="1420709510">
          <w:marLeft w:val="480"/>
          <w:marRight w:val="0"/>
          <w:marTop w:val="0"/>
          <w:marBottom w:val="0"/>
          <w:divBdr>
            <w:top w:val="none" w:sz="0" w:space="0" w:color="auto"/>
            <w:left w:val="none" w:sz="0" w:space="0" w:color="auto"/>
            <w:bottom w:val="none" w:sz="0" w:space="0" w:color="auto"/>
            <w:right w:val="none" w:sz="0" w:space="0" w:color="auto"/>
          </w:divBdr>
        </w:div>
        <w:div w:id="322778795">
          <w:marLeft w:val="480"/>
          <w:marRight w:val="0"/>
          <w:marTop w:val="0"/>
          <w:marBottom w:val="0"/>
          <w:divBdr>
            <w:top w:val="none" w:sz="0" w:space="0" w:color="auto"/>
            <w:left w:val="none" w:sz="0" w:space="0" w:color="auto"/>
            <w:bottom w:val="none" w:sz="0" w:space="0" w:color="auto"/>
            <w:right w:val="none" w:sz="0" w:space="0" w:color="auto"/>
          </w:divBdr>
        </w:div>
        <w:div w:id="1499685429">
          <w:marLeft w:val="480"/>
          <w:marRight w:val="0"/>
          <w:marTop w:val="0"/>
          <w:marBottom w:val="0"/>
          <w:divBdr>
            <w:top w:val="none" w:sz="0" w:space="0" w:color="auto"/>
            <w:left w:val="none" w:sz="0" w:space="0" w:color="auto"/>
            <w:bottom w:val="none" w:sz="0" w:space="0" w:color="auto"/>
            <w:right w:val="none" w:sz="0" w:space="0" w:color="auto"/>
          </w:divBdr>
        </w:div>
        <w:div w:id="507333203">
          <w:marLeft w:val="480"/>
          <w:marRight w:val="0"/>
          <w:marTop w:val="0"/>
          <w:marBottom w:val="0"/>
          <w:divBdr>
            <w:top w:val="none" w:sz="0" w:space="0" w:color="auto"/>
            <w:left w:val="none" w:sz="0" w:space="0" w:color="auto"/>
            <w:bottom w:val="none" w:sz="0" w:space="0" w:color="auto"/>
            <w:right w:val="none" w:sz="0" w:space="0" w:color="auto"/>
          </w:divBdr>
        </w:div>
      </w:divsChild>
    </w:div>
    <w:div w:id="1997149757">
      <w:bodyDiv w:val="1"/>
      <w:marLeft w:val="0"/>
      <w:marRight w:val="0"/>
      <w:marTop w:val="0"/>
      <w:marBottom w:val="0"/>
      <w:divBdr>
        <w:top w:val="none" w:sz="0" w:space="0" w:color="auto"/>
        <w:left w:val="none" w:sz="0" w:space="0" w:color="auto"/>
        <w:bottom w:val="none" w:sz="0" w:space="0" w:color="auto"/>
        <w:right w:val="none" w:sz="0" w:space="0" w:color="auto"/>
      </w:divBdr>
      <w:divsChild>
        <w:div w:id="1430587825">
          <w:marLeft w:val="480"/>
          <w:marRight w:val="0"/>
          <w:marTop w:val="0"/>
          <w:marBottom w:val="0"/>
          <w:divBdr>
            <w:top w:val="none" w:sz="0" w:space="0" w:color="auto"/>
            <w:left w:val="none" w:sz="0" w:space="0" w:color="auto"/>
            <w:bottom w:val="none" w:sz="0" w:space="0" w:color="auto"/>
            <w:right w:val="none" w:sz="0" w:space="0" w:color="auto"/>
          </w:divBdr>
        </w:div>
        <w:div w:id="1319335969">
          <w:marLeft w:val="480"/>
          <w:marRight w:val="0"/>
          <w:marTop w:val="0"/>
          <w:marBottom w:val="0"/>
          <w:divBdr>
            <w:top w:val="none" w:sz="0" w:space="0" w:color="auto"/>
            <w:left w:val="none" w:sz="0" w:space="0" w:color="auto"/>
            <w:bottom w:val="none" w:sz="0" w:space="0" w:color="auto"/>
            <w:right w:val="none" w:sz="0" w:space="0" w:color="auto"/>
          </w:divBdr>
        </w:div>
        <w:div w:id="600064940">
          <w:marLeft w:val="480"/>
          <w:marRight w:val="0"/>
          <w:marTop w:val="0"/>
          <w:marBottom w:val="0"/>
          <w:divBdr>
            <w:top w:val="none" w:sz="0" w:space="0" w:color="auto"/>
            <w:left w:val="none" w:sz="0" w:space="0" w:color="auto"/>
            <w:bottom w:val="none" w:sz="0" w:space="0" w:color="auto"/>
            <w:right w:val="none" w:sz="0" w:space="0" w:color="auto"/>
          </w:divBdr>
        </w:div>
        <w:div w:id="1082920175">
          <w:marLeft w:val="480"/>
          <w:marRight w:val="0"/>
          <w:marTop w:val="0"/>
          <w:marBottom w:val="0"/>
          <w:divBdr>
            <w:top w:val="none" w:sz="0" w:space="0" w:color="auto"/>
            <w:left w:val="none" w:sz="0" w:space="0" w:color="auto"/>
            <w:bottom w:val="none" w:sz="0" w:space="0" w:color="auto"/>
            <w:right w:val="none" w:sz="0" w:space="0" w:color="auto"/>
          </w:divBdr>
        </w:div>
        <w:div w:id="1203176059">
          <w:marLeft w:val="480"/>
          <w:marRight w:val="0"/>
          <w:marTop w:val="0"/>
          <w:marBottom w:val="0"/>
          <w:divBdr>
            <w:top w:val="none" w:sz="0" w:space="0" w:color="auto"/>
            <w:left w:val="none" w:sz="0" w:space="0" w:color="auto"/>
            <w:bottom w:val="none" w:sz="0" w:space="0" w:color="auto"/>
            <w:right w:val="none" w:sz="0" w:space="0" w:color="auto"/>
          </w:divBdr>
        </w:div>
        <w:div w:id="1037509601">
          <w:marLeft w:val="480"/>
          <w:marRight w:val="0"/>
          <w:marTop w:val="0"/>
          <w:marBottom w:val="0"/>
          <w:divBdr>
            <w:top w:val="none" w:sz="0" w:space="0" w:color="auto"/>
            <w:left w:val="none" w:sz="0" w:space="0" w:color="auto"/>
            <w:bottom w:val="none" w:sz="0" w:space="0" w:color="auto"/>
            <w:right w:val="none" w:sz="0" w:space="0" w:color="auto"/>
          </w:divBdr>
        </w:div>
        <w:div w:id="2136436487">
          <w:marLeft w:val="480"/>
          <w:marRight w:val="0"/>
          <w:marTop w:val="0"/>
          <w:marBottom w:val="0"/>
          <w:divBdr>
            <w:top w:val="none" w:sz="0" w:space="0" w:color="auto"/>
            <w:left w:val="none" w:sz="0" w:space="0" w:color="auto"/>
            <w:bottom w:val="none" w:sz="0" w:space="0" w:color="auto"/>
            <w:right w:val="none" w:sz="0" w:space="0" w:color="auto"/>
          </w:divBdr>
        </w:div>
        <w:div w:id="314068670">
          <w:marLeft w:val="480"/>
          <w:marRight w:val="0"/>
          <w:marTop w:val="0"/>
          <w:marBottom w:val="0"/>
          <w:divBdr>
            <w:top w:val="none" w:sz="0" w:space="0" w:color="auto"/>
            <w:left w:val="none" w:sz="0" w:space="0" w:color="auto"/>
            <w:bottom w:val="none" w:sz="0" w:space="0" w:color="auto"/>
            <w:right w:val="none" w:sz="0" w:space="0" w:color="auto"/>
          </w:divBdr>
        </w:div>
      </w:divsChild>
    </w:div>
    <w:div w:id="2013949529">
      <w:bodyDiv w:val="1"/>
      <w:marLeft w:val="0"/>
      <w:marRight w:val="0"/>
      <w:marTop w:val="0"/>
      <w:marBottom w:val="0"/>
      <w:divBdr>
        <w:top w:val="none" w:sz="0" w:space="0" w:color="auto"/>
        <w:left w:val="none" w:sz="0" w:space="0" w:color="auto"/>
        <w:bottom w:val="none" w:sz="0" w:space="0" w:color="auto"/>
        <w:right w:val="none" w:sz="0" w:space="0" w:color="auto"/>
      </w:divBdr>
    </w:div>
    <w:div w:id="2072728825">
      <w:bodyDiv w:val="1"/>
      <w:marLeft w:val="0"/>
      <w:marRight w:val="0"/>
      <w:marTop w:val="0"/>
      <w:marBottom w:val="0"/>
      <w:divBdr>
        <w:top w:val="none" w:sz="0" w:space="0" w:color="auto"/>
        <w:left w:val="none" w:sz="0" w:space="0" w:color="auto"/>
        <w:bottom w:val="none" w:sz="0" w:space="0" w:color="auto"/>
        <w:right w:val="none" w:sz="0" w:space="0" w:color="auto"/>
      </w:divBdr>
      <w:divsChild>
        <w:div w:id="1557662059">
          <w:marLeft w:val="480"/>
          <w:marRight w:val="0"/>
          <w:marTop w:val="0"/>
          <w:marBottom w:val="0"/>
          <w:divBdr>
            <w:top w:val="none" w:sz="0" w:space="0" w:color="auto"/>
            <w:left w:val="none" w:sz="0" w:space="0" w:color="auto"/>
            <w:bottom w:val="none" w:sz="0" w:space="0" w:color="auto"/>
            <w:right w:val="none" w:sz="0" w:space="0" w:color="auto"/>
          </w:divBdr>
        </w:div>
        <w:div w:id="1783525389">
          <w:marLeft w:val="480"/>
          <w:marRight w:val="0"/>
          <w:marTop w:val="0"/>
          <w:marBottom w:val="0"/>
          <w:divBdr>
            <w:top w:val="none" w:sz="0" w:space="0" w:color="auto"/>
            <w:left w:val="none" w:sz="0" w:space="0" w:color="auto"/>
            <w:bottom w:val="none" w:sz="0" w:space="0" w:color="auto"/>
            <w:right w:val="none" w:sz="0" w:space="0" w:color="auto"/>
          </w:divBdr>
        </w:div>
        <w:div w:id="988678088">
          <w:marLeft w:val="480"/>
          <w:marRight w:val="0"/>
          <w:marTop w:val="0"/>
          <w:marBottom w:val="0"/>
          <w:divBdr>
            <w:top w:val="none" w:sz="0" w:space="0" w:color="auto"/>
            <w:left w:val="none" w:sz="0" w:space="0" w:color="auto"/>
            <w:bottom w:val="none" w:sz="0" w:space="0" w:color="auto"/>
            <w:right w:val="none" w:sz="0" w:space="0" w:color="auto"/>
          </w:divBdr>
        </w:div>
        <w:div w:id="252205972">
          <w:marLeft w:val="480"/>
          <w:marRight w:val="0"/>
          <w:marTop w:val="0"/>
          <w:marBottom w:val="0"/>
          <w:divBdr>
            <w:top w:val="none" w:sz="0" w:space="0" w:color="auto"/>
            <w:left w:val="none" w:sz="0" w:space="0" w:color="auto"/>
            <w:bottom w:val="none" w:sz="0" w:space="0" w:color="auto"/>
            <w:right w:val="none" w:sz="0" w:space="0" w:color="auto"/>
          </w:divBdr>
        </w:div>
        <w:div w:id="1447118739">
          <w:marLeft w:val="480"/>
          <w:marRight w:val="0"/>
          <w:marTop w:val="0"/>
          <w:marBottom w:val="0"/>
          <w:divBdr>
            <w:top w:val="none" w:sz="0" w:space="0" w:color="auto"/>
            <w:left w:val="none" w:sz="0" w:space="0" w:color="auto"/>
            <w:bottom w:val="none" w:sz="0" w:space="0" w:color="auto"/>
            <w:right w:val="none" w:sz="0" w:space="0" w:color="auto"/>
          </w:divBdr>
        </w:div>
        <w:div w:id="1633899305">
          <w:marLeft w:val="480"/>
          <w:marRight w:val="0"/>
          <w:marTop w:val="0"/>
          <w:marBottom w:val="0"/>
          <w:divBdr>
            <w:top w:val="none" w:sz="0" w:space="0" w:color="auto"/>
            <w:left w:val="none" w:sz="0" w:space="0" w:color="auto"/>
            <w:bottom w:val="none" w:sz="0" w:space="0" w:color="auto"/>
            <w:right w:val="none" w:sz="0" w:space="0" w:color="auto"/>
          </w:divBdr>
        </w:div>
        <w:div w:id="1834030167">
          <w:marLeft w:val="480"/>
          <w:marRight w:val="0"/>
          <w:marTop w:val="0"/>
          <w:marBottom w:val="0"/>
          <w:divBdr>
            <w:top w:val="none" w:sz="0" w:space="0" w:color="auto"/>
            <w:left w:val="none" w:sz="0" w:space="0" w:color="auto"/>
            <w:bottom w:val="none" w:sz="0" w:space="0" w:color="auto"/>
            <w:right w:val="none" w:sz="0" w:space="0" w:color="auto"/>
          </w:divBdr>
        </w:div>
        <w:div w:id="1853103649">
          <w:marLeft w:val="480"/>
          <w:marRight w:val="0"/>
          <w:marTop w:val="0"/>
          <w:marBottom w:val="0"/>
          <w:divBdr>
            <w:top w:val="none" w:sz="0" w:space="0" w:color="auto"/>
            <w:left w:val="none" w:sz="0" w:space="0" w:color="auto"/>
            <w:bottom w:val="none" w:sz="0" w:space="0" w:color="auto"/>
            <w:right w:val="none" w:sz="0" w:space="0" w:color="auto"/>
          </w:divBdr>
        </w:div>
        <w:div w:id="1482116733">
          <w:marLeft w:val="480"/>
          <w:marRight w:val="0"/>
          <w:marTop w:val="0"/>
          <w:marBottom w:val="0"/>
          <w:divBdr>
            <w:top w:val="none" w:sz="0" w:space="0" w:color="auto"/>
            <w:left w:val="none" w:sz="0" w:space="0" w:color="auto"/>
            <w:bottom w:val="none" w:sz="0" w:space="0" w:color="auto"/>
            <w:right w:val="none" w:sz="0" w:space="0" w:color="auto"/>
          </w:divBdr>
        </w:div>
        <w:div w:id="777337172">
          <w:marLeft w:val="480"/>
          <w:marRight w:val="0"/>
          <w:marTop w:val="0"/>
          <w:marBottom w:val="0"/>
          <w:divBdr>
            <w:top w:val="none" w:sz="0" w:space="0" w:color="auto"/>
            <w:left w:val="none" w:sz="0" w:space="0" w:color="auto"/>
            <w:bottom w:val="none" w:sz="0" w:space="0" w:color="auto"/>
            <w:right w:val="none" w:sz="0" w:space="0" w:color="auto"/>
          </w:divBdr>
        </w:div>
        <w:div w:id="1822770928">
          <w:marLeft w:val="480"/>
          <w:marRight w:val="0"/>
          <w:marTop w:val="0"/>
          <w:marBottom w:val="0"/>
          <w:divBdr>
            <w:top w:val="none" w:sz="0" w:space="0" w:color="auto"/>
            <w:left w:val="none" w:sz="0" w:space="0" w:color="auto"/>
            <w:bottom w:val="none" w:sz="0" w:space="0" w:color="auto"/>
            <w:right w:val="none" w:sz="0" w:space="0" w:color="auto"/>
          </w:divBdr>
        </w:div>
        <w:div w:id="349643594">
          <w:marLeft w:val="480"/>
          <w:marRight w:val="0"/>
          <w:marTop w:val="0"/>
          <w:marBottom w:val="0"/>
          <w:divBdr>
            <w:top w:val="none" w:sz="0" w:space="0" w:color="auto"/>
            <w:left w:val="none" w:sz="0" w:space="0" w:color="auto"/>
            <w:bottom w:val="none" w:sz="0" w:space="0" w:color="auto"/>
            <w:right w:val="none" w:sz="0" w:space="0" w:color="auto"/>
          </w:divBdr>
        </w:div>
        <w:div w:id="1546602157">
          <w:marLeft w:val="480"/>
          <w:marRight w:val="0"/>
          <w:marTop w:val="0"/>
          <w:marBottom w:val="0"/>
          <w:divBdr>
            <w:top w:val="none" w:sz="0" w:space="0" w:color="auto"/>
            <w:left w:val="none" w:sz="0" w:space="0" w:color="auto"/>
            <w:bottom w:val="none" w:sz="0" w:space="0" w:color="auto"/>
            <w:right w:val="none" w:sz="0" w:space="0" w:color="auto"/>
          </w:divBdr>
        </w:div>
      </w:divsChild>
    </w:div>
    <w:div w:id="2093773227">
      <w:bodyDiv w:val="1"/>
      <w:marLeft w:val="0"/>
      <w:marRight w:val="0"/>
      <w:marTop w:val="0"/>
      <w:marBottom w:val="0"/>
      <w:divBdr>
        <w:top w:val="none" w:sz="0" w:space="0" w:color="auto"/>
        <w:left w:val="none" w:sz="0" w:space="0" w:color="auto"/>
        <w:bottom w:val="none" w:sz="0" w:space="0" w:color="auto"/>
        <w:right w:val="none" w:sz="0" w:space="0" w:color="auto"/>
      </w:divBdr>
      <w:divsChild>
        <w:div w:id="1608195635">
          <w:marLeft w:val="480"/>
          <w:marRight w:val="0"/>
          <w:marTop w:val="0"/>
          <w:marBottom w:val="0"/>
          <w:divBdr>
            <w:top w:val="none" w:sz="0" w:space="0" w:color="auto"/>
            <w:left w:val="none" w:sz="0" w:space="0" w:color="auto"/>
            <w:bottom w:val="none" w:sz="0" w:space="0" w:color="auto"/>
            <w:right w:val="none" w:sz="0" w:space="0" w:color="auto"/>
          </w:divBdr>
        </w:div>
        <w:div w:id="498235364">
          <w:marLeft w:val="480"/>
          <w:marRight w:val="0"/>
          <w:marTop w:val="0"/>
          <w:marBottom w:val="0"/>
          <w:divBdr>
            <w:top w:val="none" w:sz="0" w:space="0" w:color="auto"/>
            <w:left w:val="none" w:sz="0" w:space="0" w:color="auto"/>
            <w:bottom w:val="none" w:sz="0" w:space="0" w:color="auto"/>
            <w:right w:val="none" w:sz="0" w:space="0" w:color="auto"/>
          </w:divBdr>
        </w:div>
        <w:div w:id="358313927">
          <w:marLeft w:val="480"/>
          <w:marRight w:val="0"/>
          <w:marTop w:val="0"/>
          <w:marBottom w:val="0"/>
          <w:divBdr>
            <w:top w:val="none" w:sz="0" w:space="0" w:color="auto"/>
            <w:left w:val="none" w:sz="0" w:space="0" w:color="auto"/>
            <w:bottom w:val="none" w:sz="0" w:space="0" w:color="auto"/>
            <w:right w:val="none" w:sz="0" w:space="0" w:color="auto"/>
          </w:divBdr>
        </w:div>
        <w:div w:id="1446581728">
          <w:marLeft w:val="480"/>
          <w:marRight w:val="0"/>
          <w:marTop w:val="0"/>
          <w:marBottom w:val="0"/>
          <w:divBdr>
            <w:top w:val="none" w:sz="0" w:space="0" w:color="auto"/>
            <w:left w:val="none" w:sz="0" w:space="0" w:color="auto"/>
            <w:bottom w:val="none" w:sz="0" w:space="0" w:color="auto"/>
            <w:right w:val="none" w:sz="0" w:space="0" w:color="auto"/>
          </w:divBdr>
        </w:div>
        <w:div w:id="773785996">
          <w:marLeft w:val="480"/>
          <w:marRight w:val="0"/>
          <w:marTop w:val="0"/>
          <w:marBottom w:val="0"/>
          <w:divBdr>
            <w:top w:val="none" w:sz="0" w:space="0" w:color="auto"/>
            <w:left w:val="none" w:sz="0" w:space="0" w:color="auto"/>
            <w:bottom w:val="none" w:sz="0" w:space="0" w:color="auto"/>
            <w:right w:val="none" w:sz="0" w:space="0" w:color="auto"/>
          </w:divBdr>
        </w:div>
        <w:div w:id="1202748599">
          <w:marLeft w:val="480"/>
          <w:marRight w:val="0"/>
          <w:marTop w:val="0"/>
          <w:marBottom w:val="0"/>
          <w:divBdr>
            <w:top w:val="none" w:sz="0" w:space="0" w:color="auto"/>
            <w:left w:val="none" w:sz="0" w:space="0" w:color="auto"/>
            <w:bottom w:val="none" w:sz="0" w:space="0" w:color="auto"/>
            <w:right w:val="none" w:sz="0" w:space="0" w:color="auto"/>
          </w:divBdr>
        </w:div>
        <w:div w:id="423305442">
          <w:marLeft w:val="480"/>
          <w:marRight w:val="0"/>
          <w:marTop w:val="0"/>
          <w:marBottom w:val="0"/>
          <w:divBdr>
            <w:top w:val="none" w:sz="0" w:space="0" w:color="auto"/>
            <w:left w:val="none" w:sz="0" w:space="0" w:color="auto"/>
            <w:bottom w:val="none" w:sz="0" w:space="0" w:color="auto"/>
            <w:right w:val="none" w:sz="0" w:space="0" w:color="auto"/>
          </w:divBdr>
        </w:div>
        <w:div w:id="15693478">
          <w:marLeft w:val="480"/>
          <w:marRight w:val="0"/>
          <w:marTop w:val="0"/>
          <w:marBottom w:val="0"/>
          <w:divBdr>
            <w:top w:val="none" w:sz="0" w:space="0" w:color="auto"/>
            <w:left w:val="none" w:sz="0" w:space="0" w:color="auto"/>
            <w:bottom w:val="none" w:sz="0" w:space="0" w:color="auto"/>
            <w:right w:val="none" w:sz="0" w:space="0" w:color="auto"/>
          </w:divBdr>
        </w:div>
      </w:divsChild>
    </w:div>
    <w:div w:id="2103647046">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0321464">
      <w:bodyDiv w:val="1"/>
      <w:marLeft w:val="0"/>
      <w:marRight w:val="0"/>
      <w:marTop w:val="0"/>
      <w:marBottom w:val="0"/>
      <w:divBdr>
        <w:top w:val="none" w:sz="0" w:space="0" w:color="auto"/>
        <w:left w:val="none" w:sz="0" w:space="0" w:color="auto"/>
        <w:bottom w:val="none" w:sz="0" w:space="0" w:color="auto"/>
        <w:right w:val="none" w:sz="0" w:space="0" w:color="auto"/>
      </w:divBdr>
      <w:divsChild>
        <w:div w:id="183249910">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chart" Target="charts/chart3.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sus\Desktop\CARTELLE\Searches\CHIMICA\DOTTORATO\Argomento%20Fotocatalisi\Francesca\Conferenza%20Venezia\Dati%20per%20articolo.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sus\Desktop\CARTELLE\Searches\CHIMICA\DOTTORATO\Argomento%20Fotocatalisi\Francesca\Conferenza%20Venezia\Dati%20per%20articolo.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sus\Desktop\CARTELLE\Searches\CHIMICA\DOTTORATO\Argomento%20Fotocatalisi\Francesca\Conferenza%20Venezia\Dati%20per%20articolo.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sus\Desktop\CARTELLE\Searches\CHIMICA\DOTTORATO\Argomento%20Fotocatalisi\Francesca\Conferenza%20Venezia\Dati%20per%20articolo.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01300781096034"/>
          <c:y val="7.8320041806439297E-2"/>
          <c:w val="0.70150565104761553"/>
          <c:h val="0.71337551709473301"/>
        </c:manualLayout>
      </c:layout>
      <c:scatterChart>
        <c:scatterStyle val="lineMarker"/>
        <c:varyColors val="0"/>
        <c:ser>
          <c:idx val="13"/>
          <c:order val="12"/>
          <c:tx>
            <c:v>Ag/Sr-TiO2 light</c:v>
          </c:tx>
          <c:spPr>
            <a:ln w="12700" cap="rnd">
              <a:solidFill>
                <a:sysClr val="windowText" lastClr="000000"/>
              </a:solidFill>
              <a:prstDash val="dash"/>
              <a:round/>
            </a:ln>
            <a:effectLst/>
          </c:spPr>
          <c:marker>
            <c:symbol val="circle"/>
            <c:size val="3"/>
            <c:spPr>
              <a:solidFill>
                <a:schemeClr val="tx1"/>
              </a:solidFill>
              <a:ln w="12700">
                <a:solidFill>
                  <a:sysClr val="windowText" lastClr="000000"/>
                </a:solidFill>
                <a:prstDash val="dash"/>
              </a:ln>
              <a:effectLst/>
            </c:spPr>
          </c:marker>
          <c:xVal>
            <c:numRef>
              <c:f>Foglio1!$AA$20:$AA$26</c:f>
              <c:numCache>
                <c:formatCode>General</c:formatCode>
                <c:ptCount val="7"/>
                <c:pt idx="0">
                  <c:v>0</c:v>
                </c:pt>
                <c:pt idx="1">
                  <c:v>0.5</c:v>
                </c:pt>
                <c:pt idx="2">
                  <c:v>1</c:v>
                </c:pt>
                <c:pt idx="3">
                  <c:v>1.5</c:v>
                </c:pt>
                <c:pt idx="4">
                  <c:v>2</c:v>
                </c:pt>
                <c:pt idx="5">
                  <c:v>2.5</c:v>
                </c:pt>
                <c:pt idx="6">
                  <c:v>3</c:v>
                </c:pt>
              </c:numCache>
            </c:numRef>
          </c:xVal>
          <c:yVal>
            <c:numRef>
              <c:f>Foglio1!$AB$20:$AB$26</c:f>
              <c:numCache>
                <c:formatCode>General</c:formatCode>
                <c:ptCount val="7"/>
                <c:pt idx="0">
                  <c:v>9.8000000000000007</c:v>
                </c:pt>
                <c:pt idx="1">
                  <c:v>10</c:v>
                </c:pt>
                <c:pt idx="2" formatCode="0.0">
                  <c:v>17.540654850942424</c:v>
                </c:pt>
                <c:pt idx="3" formatCode="0.0">
                  <c:v>18.870843000773394</c:v>
                </c:pt>
                <c:pt idx="4" formatCode="0.0">
                  <c:v>22.041763341067281</c:v>
                </c:pt>
                <c:pt idx="5" formatCode="0.0">
                  <c:v>30.162412993039439</c:v>
                </c:pt>
                <c:pt idx="6" formatCode="0.0">
                  <c:v>36.431117387941754</c:v>
                </c:pt>
              </c:numCache>
            </c:numRef>
          </c:yVal>
          <c:smooth val="0"/>
          <c:extLst>
            <c:ext xmlns:c16="http://schemas.microsoft.com/office/drawing/2014/chart" uri="{C3380CC4-5D6E-409C-BE32-E72D297353CC}">
              <c16:uniqueId val="{00000000-0C4A-4946-9DA6-C968E1161314}"/>
            </c:ext>
          </c:extLst>
        </c:ser>
        <c:ser>
          <c:idx val="12"/>
          <c:order val="13"/>
          <c:tx>
            <c:v>Ag/Sr-TiO2 dark</c:v>
          </c:tx>
          <c:spPr>
            <a:ln w="12700" cap="rnd">
              <a:solidFill>
                <a:sysClr val="windowText" lastClr="000000"/>
              </a:solidFill>
              <a:prstDash val="sysDot"/>
              <a:round/>
            </a:ln>
            <a:effectLst/>
          </c:spPr>
          <c:marker>
            <c:symbol val="circle"/>
            <c:size val="3"/>
            <c:spPr>
              <a:solidFill>
                <a:schemeClr val="tx1"/>
              </a:solidFill>
              <a:ln w="12700">
                <a:solidFill>
                  <a:sysClr val="windowText" lastClr="000000"/>
                </a:solidFill>
                <a:prstDash val="sysDot"/>
              </a:ln>
              <a:effectLst/>
            </c:spPr>
          </c:marker>
          <c:xVal>
            <c:numRef>
              <c:f>Foglio1!$AA$10:$AA$16</c:f>
              <c:numCache>
                <c:formatCode>General</c:formatCode>
                <c:ptCount val="7"/>
                <c:pt idx="0">
                  <c:v>0</c:v>
                </c:pt>
                <c:pt idx="1">
                  <c:v>0.5</c:v>
                </c:pt>
                <c:pt idx="2">
                  <c:v>1</c:v>
                </c:pt>
                <c:pt idx="3">
                  <c:v>1.5</c:v>
                </c:pt>
                <c:pt idx="4">
                  <c:v>2</c:v>
                </c:pt>
                <c:pt idx="5">
                  <c:v>2.5</c:v>
                </c:pt>
                <c:pt idx="6">
                  <c:v>3</c:v>
                </c:pt>
              </c:numCache>
            </c:numRef>
          </c:xVal>
          <c:yVal>
            <c:numRef>
              <c:f>Foglio1!$AB$10:$AB$16</c:f>
              <c:numCache>
                <c:formatCode>General</c:formatCode>
                <c:ptCount val="7"/>
                <c:pt idx="0">
                  <c:v>9.8000000000000007</c:v>
                </c:pt>
                <c:pt idx="1">
                  <c:v>9.4</c:v>
                </c:pt>
                <c:pt idx="2">
                  <c:v>6.2</c:v>
                </c:pt>
                <c:pt idx="3">
                  <c:v>8.5</c:v>
                </c:pt>
                <c:pt idx="4">
                  <c:v>11</c:v>
                </c:pt>
                <c:pt idx="5">
                  <c:v>9</c:v>
                </c:pt>
                <c:pt idx="6">
                  <c:v>10</c:v>
                </c:pt>
              </c:numCache>
            </c:numRef>
          </c:yVal>
          <c:smooth val="0"/>
          <c:extLst>
            <c:ext xmlns:c16="http://schemas.microsoft.com/office/drawing/2014/chart" uri="{C3380CC4-5D6E-409C-BE32-E72D297353CC}">
              <c16:uniqueId val="{00000001-0C4A-4946-9DA6-C968E1161314}"/>
            </c:ext>
          </c:extLst>
        </c:ser>
        <c:dLbls>
          <c:showLegendKey val="0"/>
          <c:showVal val="0"/>
          <c:showCatName val="0"/>
          <c:showSerName val="0"/>
          <c:showPercent val="0"/>
          <c:showBubbleSize val="0"/>
        </c:dLbls>
        <c:axId val="1978120512"/>
        <c:axId val="1978115520"/>
        <c:extLst>
          <c:ext xmlns:c15="http://schemas.microsoft.com/office/drawing/2012/chart" uri="{02D57815-91ED-43cb-92C2-25804820EDAC}">
            <c15:filteredScatterSeries>
              <c15:ser>
                <c:idx val="0"/>
                <c:order val="0"/>
                <c:tx>
                  <c:v>P25 dark</c:v>
                </c:tx>
                <c:spPr>
                  <a:ln w="12700" cap="rnd">
                    <a:solidFill>
                      <a:schemeClr val="tx1"/>
                    </a:solidFill>
                    <a:prstDash val="dash"/>
                    <a:round/>
                  </a:ln>
                  <a:effectLst/>
                </c:spPr>
                <c:marker>
                  <c:symbol val="triangle"/>
                  <c:size val="5"/>
                  <c:spPr>
                    <a:solidFill>
                      <a:schemeClr val="tx1"/>
                    </a:solidFill>
                    <a:ln w="12700">
                      <a:solidFill>
                        <a:schemeClr val="tx1"/>
                      </a:solidFill>
                      <a:prstDash val="dash"/>
                    </a:ln>
                    <a:effectLst/>
                  </c:spPr>
                </c:marker>
                <c:xVal>
                  <c:numRef>
                    <c:extLst>
                      <c:ext uri="{02D57815-91ED-43cb-92C2-25804820EDAC}">
                        <c15:formulaRef>
                          <c15:sqref>Foglio1!$H$9:$H$14</c15:sqref>
                        </c15:formulaRef>
                      </c:ext>
                    </c:extLst>
                    <c:numCache>
                      <c:formatCode>General</c:formatCode>
                      <c:ptCount val="6"/>
                      <c:pt idx="0">
                        <c:v>0</c:v>
                      </c:pt>
                      <c:pt idx="1">
                        <c:v>0.5</c:v>
                      </c:pt>
                      <c:pt idx="2">
                        <c:v>1</c:v>
                      </c:pt>
                      <c:pt idx="3">
                        <c:v>2</c:v>
                      </c:pt>
                      <c:pt idx="4">
                        <c:v>2.5</c:v>
                      </c:pt>
                      <c:pt idx="5">
                        <c:v>3</c:v>
                      </c:pt>
                    </c:numCache>
                  </c:numRef>
                </c:xVal>
                <c:yVal>
                  <c:numRef>
                    <c:extLst>
                      <c:ext uri="{02D57815-91ED-43cb-92C2-25804820EDAC}">
                        <c15:formulaRef>
                          <c15:sqref>Foglio1!$I$9:$I$14</c15:sqref>
                        </c15:formulaRef>
                      </c:ext>
                    </c:extLst>
                    <c:numCache>
                      <c:formatCode>0.0</c:formatCode>
                      <c:ptCount val="6"/>
                      <c:pt idx="0">
                        <c:v>7.3967471685880488</c:v>
                      </c:pt>
                      <c:pt idx="1">
                        <c:v>5.615900818926292</c:v>
                      </c:pt>
                      <c:pt idx="2">
                        <c:v>11.131484557472394</c:v>
                      </c:pt>
                      <c:pt idx="3">
                        <c:v>10</c:v>
                      </c:pt>
                      <c:pt idx="4">
                        <c:v>9.0272373540855941</c:v>
                      </c:pt>
                      <c:pt idx="5">
                        <c:v>9.5</c:v>
                      </c:pt>
                    </c:numCache>
                  </c:numRef>
                </c:yVal>
                <c:smooth val="0"/>
                <c:extLst>
                  <c:ext xmlns:c16="http://schemas.microsoft.com/office/drawing/2014/chart" uri="{C3380CC4-5D6E-409C-BE32-E72D297353CC}">
                    <c16:uniqueId val="{00000002-0C4A-4946-9DA6-C968E1161314}"/>
                  </c:ext>
                </c:extLst>
              </c15:ser>
            </c15:filteredScatterSeries>
            <c15:filteredScatterSeries>
              <c15:ser>
                <c:idx val="1"/>
                <c:order val="1"/>
                <c:tx>
                  <c:v>P25 with light</c:v>
                </c:tx>
                <c:spPr>
                  <a:ln w="12700" cap="rnd">
                    <a:solidFill>
                      <a:sysClr val="windowText" lastClr="000000"/>
                    </a:solidFill>
                    <a:prstDash val="sysDot"/>
                    <a:round/>
                  </a:ln>
                  <a:effectLst/>
                </c:spPr>
                <c:marker>
                  <c:symbol val="diamond"/>
                  <c:size val="5"/>
                  <c:spPr>
                    <a:solidFill>
                      <a:schemeClr val="tx1"/>
                    </a:solidFill>
                    <a:ln w="12700">
                      <a:solidFill>
                        <a:sysClr val="windowText" lastClr="000000"/>
                      </a:solidFill>
                      <a:prstDash val="sysDot"/>
                    </a:ln>
                    <a:effectLst/>
                  </c:spPr>
                </c:marker>
                <c:xVal>
                  <c:numRef>
                    <c:extLst xmlns:c15="http://schemas.microsoft.com/office/drawing/2012/chart">
                      <c:ext xmlns:c15="http://schemas.microsoft.com/office/drawing/2012/chart" uri="{02D57815-91ED-43cb-92C2-25804820EDAC}">
                        <c15:formulaRef>
                          <c15:sqref>Foglio1!$H$19:$H$23</c15:sqref>
                        </c15:formulaRef>
                      </c:ext>
                    </c:extLst>
                    <c:numCache>
                      <c:formatCode>General</c:formatCode>
                      <c:ptCount val="5"/>
                      <c:pt idx="0">
                        <c:v>0</c:v>
                      </c:pt>
                      <c:pt idx="1">
                        <c:v>0.5</c:v>
                      </c:pt>
                      <c:pt idx="2">
                        <c:v>1</c:v>
                      </c:pt>
                      <c:pt idx="3">
                        <c:v>2</c:v>
                      </c:pt>
                      <c:pt idx="4">
                        <c:v>3</c:v>
                      </c:pt>
                    </c:numCache>
                  </c:numRef>
                </c:xVal>
                <c:yVal>
                  <c:numRef>
                    <c:extLst xmlns:c15="http://schemas.microsoft.com/office/drawing/2012/chart">
                      <c:ext xmlns:c15="http://schemas.microsoft.com/office/drawing/2012/chart" uri="{02D57815-91ED-43cb-92C2-25804820EDAC}">
                        <c15:formulaRef>
                          <c15:sqref>Foglio1!$I$19:$I$23</c15:sqref>
                        </c15:formulaRef>
                      </c:ext>
                    </c:extLst>
                    <c:numCache>
                      <c:formatCode>0.0</c:formatCode>
                      <c:ptCount val="5"/>
                      <c:pt idx="0">
                        <c:v>7.3967471685880488</c:v>
                      </c:pt>
                      <c:pt idx="1">
                        <c:v>7.5956121431136419</c:v>
                      </c:pt>
                      <c:pt idx="2">
                        <c:v>7</c:v>
                      </c:pt>
                      <c:pt idx="3">
                        <c:v>8.1649831649831626</c:v>
                      </c:pt>
                      <c:pt idx="4">
                        <c:v>8.8000000000000007</c:v>
                      </c:pt>
                    </c:numCache>
                  </c:numRef>
                </c:yVal>
                <c:smooth val="0"/>
                <c:extLst xmlns:c15="http://schemas.microsoft.com/office/drawing/2012/chart">
                  <c:ext xmlns:c16="http://schemas.microsoft.com/office/drawing/2014/chart" uri="{C3380CC4-5D6E-409C-BE32-E72D297353CC}">
                    <c16:uniqueId val="{00000003-0C4A-4946-9DA6-C968E1161314}"/>
                  </c:ext>
                </c:extLst>
              </c15:ser>
            </c15:filteredScatterSeries>
            <c15:filteredScatterSeries>
              <c15:ser>
                <c:idx val="2"/>
                <c:order val="2"/>
                <c:tx>
                  <c:v>sTiO2 dark</c:v>
                </c:tx>
                <c:spPr>
                  <a:ln w="12700" cap="rnd">
                    <a:solidFill>
                      <a:sysClr val="windowText" lastClr="000000"/>
                    </a:solidFill>
                    <a:prstDash val="dash"/>
                    <a:round/>
                  </a:ln>
                  <a:effectLst/>
                </c:spPr>
                <c:marker>
                  <c:symbol val="circle"/>
                  <c:size val="5"/>
                  <c:spPr>
                    <a:solidFill>
                      <a:schemeClr val="tx1"/>
                    </a:solidFill>
                    <a:ln w="12700">
                      <a:solidFill>
                        <a:sysClr val="windowText" lastClr="000000"/>
                      </a:solidFill>
                      <a:prstDash val="dash"/>
                    </a:ln>
                    <a:effectLst/>
                  </c:spPr>
                </c:marker>
                <c:xVal>
                  <c:numRef>
                    <c:extLst xmlns:c15="http://schemas.microsoft.com/office/drawing/2012/chart">
                      <c:ext xmlns:c15="http://schemas.microsoft.com/office/drawing/2012/chart" uri="{02D57815-91ED-43cb-92C2-25804820EDAC}">
                        <c15:formulaRef>
                          <c15:sqref>Foglio1!$L$9:$L$13</c15:sqref>
                        </c15:formulaRef>
                      </c:ext>
                    </c:extLst>
                    <c:numCache>
                      <c:formatCode>General</c:formatCode>
                      <c:ptCount val="5"/>
                      <c:pt idx="0">
                        <c:v>0</c:v>
                      </c:pt>
                      <c:pt idx="1">
                        <c:v>0.5</c:v>
                      </c:pt>
                      <c:pt idx="2">
                        <c:v>1</c:v>
                      </c:pt>
                      <c:pt idx="3">
                        <c:v>2</c:v>
                      </c:pt>
                      <c:pt idx="4">
                        <c:v>3</c:v>
                      </c:pt>
                    </c:numCache>
                  </c:numRef>
                </c:xVal>
                <c:yVal>
                  <c:numRef>
                    <c:extLst xmlns:c15="http://schemas.microsoft.com/office/drawing/2012/chart">
                      <c:ext xmlns:c15="http://schemas.microsoft.com/office/drawing/2012/chart" uri="{02D57815-91ED-43cb-92C2-25804820EDAC}">
                        <c15:formulaRef>
                          <c15:sqref>Foglio1!$M$9:$M$13</c15:sqref>
                        </c15:formulaRef>
                      </c:ext>
                    </c:extLst>
                    <c:numCache>
                      <c:formatCode>0.0</c:formatCode>
                      <c:ptCount val="5"/>
                      <c:pt idx="0">
                        <c:v>10.775727488447615</c:v>
                      </c:pt>
                      <c:pt idx="1">
                        <c:v>19.921875000000007</c:v>
                      </c:pt>
                      <c:pt idx="2">
                        <c:v>25.641025641025649</c:v>
                      </c:pt>
                      <c:pt idx="3">
                        <c:v>45.318984058704459</c:v>
                      </c:pt>
                      <c:pt idx="4">
                        <c:v>50</c:v>
                      </c:pt>
                    </c:numCache>
                  </c:numRef>
                </c:yVal>
                <c:smooth val="0"/>
                <c:extLst xmlns:c15="http://schemas.microsoft.com/office/drawing/2012/chart">
                  <c:ext xmlns:c16="http://schemas.microsoft.com/office/drawing/2014/chart" uri="{C3380CC4-5D6E-409C-BE32-E72D297353CC}">
                    <c16:uniqueId val="{00000004-0C4A-4946-9DA6-C968E1161314}"/>
                  </c:ext>
                </c:extLst>
              </c15:ser>
            </c15:filteredScatterSeries>
            <c15:filteredScatterSeries>
              <c15:ser>
                <c:idx val="3"/>
                <c:order val="3"/>
                <c:tx>
                  <c:v>sTiO2 with light</c:v>
                </c:tx>
                <c:spPr>
                  <a:ln w="12700" cap="rnd">
                    <a:solidFill>
                      <a:sysClr val="windowText" lastClr="000000"/>
                    </a:solidFill>
                    <a:prstDash val="sysDot"/>
                    <a:round/>
                  </a:ln>
                  <a:effectLst/>
                </c:spPr>
                <c:marker>
                  <c:symbol val="circle"/>
                  <c:size val="5"/>
                  <c:spPr>
                    <a:solidFill>
                      <a:sysClr val="window" lastClr="FFFFFF"/>
                    </a:solidFill>
                    <a:ln w="12700">
                      <a:solidFill>
                        <a:sysClr val="windowText" lastClr="000000"/>
                      </a:solidFill>
                      <a:prstDash val="sysDot"/>
                    </a:ln>
                    <a:effectLst/>
                  </c:spPr>
                </c:marker>
                <c:xVal>
                  <c:numRef>
                    <c:extLst xmlns:c15="http://schemas.microsoft.com/office/drawing/2012/chart">
                      <c:ext xmlns:c15="http://schemas.microsoft.com/office/drawing/2012/chart" uri="{02D57815-91ED-43cb-92C2-25804820EDAC}">
                        <c15:formulaRef>
                          <c15:sqref>Foglio1!$L$19:$L$23</c15:sqref>
                        </c15:formulaRef>
                      </c:ext>
                    </c:extLst>
                    <c:numCache>
                      <c:formatCode>General</c:formatCode>
                      <c:ptCount val="5"/>
                      <c:pt idx="0">
                        <c:v>0</c:v>
                      </c:pt>
                      <c:pt idx="1">
                        <c:v>0.5</c:v>
                      </c:pt>
                      <c:pt idx="2">
                        <c:v>1</c:v>
                      </c:pt>
                      <c:pt idx="3">
                        <c:v>2</c:v>
                      </c:pt>
                      <c:pt idx="4">
                        <c:v>3</c:v>
                      </c:pt>
                    </c:numCache>
                  </c:numRef>
                </c:xVal>
                <c:yVal>
                  <c:numRef>
                    <c:extLst xmlns:c15="http://schemas.microsoft.com/office/drawing/2012/chart">
                      <c:ext xmlns:c15="http://schemas.microsoft.com/office/drawing/2012/chart" uri="{02D57815-91ED-43cb-92C2-25804820EDAC}">
                        <c15:formulaRef>
                          <c15:sqref>Foglio1!$M$19:$M$23</c15:sqref>
                        </c15:formulaRef>
                      </c:ext>
                    </c:extLst>
                    <c:numCache>
                      <c:formatCode>0.0</c:formatCode>
                      <c:ptCount val="5"/>
                      <c:pt idx="0">
                        <c:v>10.775727488447615</c:v>
                      </c:pt>
                      <c:pt idx="1">
                        <c:v>19.604316546762597</c:v>
                      </c:pt>
                      <c:pt idx="2">
                        <c:v>25.461421540243194</c:v>
                      </c:pt>
                      <c:pt idx="3">
                        <c:v>40</c:v>
                      </c:pt>
                      <c:pt idx="4">
                        <c:v>50.234375</c:v>
                      </c:pt>
                    </c:numCache>
                  </c:numRef>
                </c:yVal>
                <c:smooth val="0"/>
                <c:extLst xmlns:c15="http://schemas.microsoft.com/office/drawing/2012/chart">
                  <c:ext xmlns:c16="http://schemas.microsoft.com/office/drawing/2014/chart" uri="{C3380CC4-5D6E-409C-BE32-E72D297353CC}">
                    <c16:uniqueId val="{00000005-0C4A-4946-9DA6-C968E1161314}"/>
                  </c:ext>
                </c:extLst>
              </c15:ser>
            </c15:filteredScatterSeries>
            <c15:filteredScatterSeries>
              <c15:ser>
                <c:idx val="6"/>
                <c:order val="4"/>
                <c:tx>
                  <c:v>Fe2O3/TiO2 light</c:v>
                </c:tx>
                <c:spPr>
                  <a:ln w="12700" cap="rnd">
                    <a:solidFill>
                      <a:sysClr val="windowText" lastClr="000000"/>
                    </a:solidFill>
                    <a:prstDash val="sysDot"/>
                    <a:round/>
                  </a:ln>
                  <a:effectLst/>
                </c:spPr>
                <c:marker>
                  <c:symbol val="circle"/>
                  <c:size val="5"/>
                  <c:spPr>
                    <a:solidFill>
                      <a:schemeClr val="tx1"/>
                    </a:solidFill>
                    <a:ln w="12700">
                      <a:solidFill>
                        <a:sysClr val="windowText" lastClr="000000"/>
                      </a:solidFill>
                      <a:prstDash val="sysDot"/>
                    </a:ln>
                    <a:effectLst/>
                  </c:spPr>
                </c:marker>
                <c:xVal>
                  <c:numRef>
                    <c:extLst xmlns:c15="http://schemas.microsoft.com/office/drawing/2012/chart">
                      <c:ext xmlns:c15="http://schemas.microsoft.com/office/drawing/2012/chart" uri="{02D57815-91ED-43cb-92C2-25804820EDAC}">
                        <c15:formulaRef>
                          <c15:sqref>Foglio1!$AE$20:$AE$25</c15:sqref>
                        </c15:formulaRef>
                      </c:ext>
                    </c:extLst>
                    <c:numCache>
                      <c:formatCode>General</c:formatCode>
                      <c:ptCount val="6"/>
                      <c:pt idx="0">
                        <c:v>0</c:v>
                      </c:pt>
                      <c:pt idx="1">
                        <c:v>0.5</c:v>
                      </c:pt>
                      <c:pt idx="2">
                        <c:v>1</c:v>
                      </c:pt>
                      <c:pt idx="3">
                        <c:v>1.5</c:v>
                      </c:pt>
                      <c:pt idx="4">
                        <c:v>2</c:v>
                      </c:pt>
                      <c:pt idx="5">
                        <c:v>3</c:v>
                      </c:pt>
                    </c:numCache>
                  </c:numRef>
                </c:xVal>
                <c:yVal>
                  <c:numRef>
                    <c:extLst xmlns:c15="http://schemas.microsoft.com/office/drawing/2012/chart">
                      <c:ext xmlns:c15="http://schemas.microsoft.com/office/drawing/2012/chart" uri="{02D57815-91ED-43cb-92C2-25804820EDAC}">
                        <c15:formulaRef>
                          <c15:sqref>Foglio1!$AF$20:$AF$25</c15:sqref>
                        </c15:formulaRef>
                      </c:ext>
                    </c:extLst>
                    <c:numCache>
                      <c:formatCode>0.0</c:formatCode>
                      <c:ptCount val="6"/>
                      <c:pt idx="0">
                        <c:v>25</c:v>
                      </c:pt>
                      <c:pt idx="1">
                        <c:v>34</c:v>
                      </c:pt>
                      <c:pt idx="2">
                        <c:v>42</c:v>
                      </c:pt>
                      <c:pt idx="3">
                        <c:v>46</c:v>
                      </c:pt>
                      <c:pt idx="4">
                        <c:v>51</c:v>
                      </c:pt>
                      <c:pt idx="5">
                        <c:v>56.454121306376358</c:v>
                      </c:pt>
                    </c:numCache>
                  </c:numRef>
                </c:yVal>
                <c:smooth val="0"/>
                <c:extLst xmlns:c15="http://schemas.microsoft.com/office/drawing/2012/chart">
                  <c:ext xmlns:c16="http://schemas.microsoft.com/office/drawing/2014/chart" uri="{C3380CC4-5D6E-409C-BE32-E72D297353CC}">
                    <c16:uniqueId val="{00000006-0C4A-4946-9DA6-C968E1161314}"/>
                  </c:ext>
                </c:extLst>
              </c15:ser>
            </c15:filteredScatterSeries>
            <c15:filteredScatterSeries>
              <c15:ser>
                <c:idx val="7"/>
                <c:order val="5"/>
                <c:tx>
                  <c:v>Fe2O3/TiO2 dark</c:v>
                </c:tx>
                <c:spPr>
                  <a:ln w="19050" cap="rnd">
                    <a:solidFill>
                      <a:sysClr val="windowText" lastClr="000000"/>
                    </a:solidFill>
                    <a:prstDash val="sysDot"/>
                    <a:round/>
                  </a:ln>
                  <a:effectLst/>
                </c:spPr>
                <c:marker>
                  <c:symbol val="diamond"/>
                  <c:size val="5"/>
                  <c:spPr>
                    <a:solidFill>
                      <a:schemeClr val="bg1"/>
                    </a:solidFill>
                    <a:ln w="9525">
                      <a:solidFill>
                        <a:sysClr val="windowText" lastClr="000000"/>
                      </a:solidFill>
                      <a:prstDash val="sysDot"/>
                    </a:ln>
                    <a:effectLst/>
                  </c:spPr>
                </c:marker>
                <c:xVal>
                  <c:numRef>
                    <c:extLst xmlns:c15="http://schemas.microsoft.com/office/drawing/2012/chart">
                      <c:ext xmlns:c15="http://schemas.microsoft.com/office/drawing/2012/chart" uri="{02D57815-91ED-43cb-92C2-25804820EDAC}">
                        <c15:formulaRef>
                          <c15:sqref>Foglio1!$AE$10:$AE$14</c15:sqref>
                        </c15:formulaRef>
                      </c:ext>
                    </c:extLst>
                    <c:numCache>
                      <c:formatCode>General</c:formatCode>
                      <c:ptCount val="5"/>
                      <c:pt idx="0">
                        <c:v>0</c:v>
                      </c:pt>
                      <c:pt idx="1">
                        <c:v>0.5</c:v>
                      </c:pt>
                      <c:pt idx="2">
                        <c:v>1</c:v>
                      </c:pt>
                      <c:pt idx="3">
                        <c:v>2</c:v>
                      </c:pt>
                      <c:pt idx="4">
                        <c:v>3</c:v>
                      </c:pt>
                    </c:numCache>
                  </c:numRef>
                </c:xVal>
                <c:yVal>
                  <c:numRef>
                    <c:extLst xmlns:c15="http://schemas.microsoft.com/office/drawing/2012/chart">
                      <c:ext xmlns:c15="http://schemas.microsoft.com/office/drawing/2012/chart" uri="{02D57815-91ED-43cb-92C2-25804820EDAC}">
                        <c15:formulaRef>
                          <c15:sqref>Foglio1!$AF$10:$AF$14</c15:sqref>
                        </c15:formulaRef>
                      </c:ext>
                    </c:extLst>
                    <c:numCache>
                      <c:formatCode>0.0</c:formatCode>
                      <c:ptCount val="5"/>
                      <c:pt idx="0">
                        <c:v>25</c:v>
                      </c:pt>
                      <c:pt idx="1">
                        <c:v>24</c:v>
                      </c:pt>
                      <c:pt idx="2">
                        <c:v>26</c:v>
                      </c:pt>
                      <c:pt idx="3">
                        <c:v>26.5</c:v>
                      </c:pt>
                      <c:pt idx="4">
                        <c:v>26.2</c:v>
                      </c:pt>
                    </c:numCache>
                  </c:numRef>
                </c:yVal>
                <c:smooth val="0"/>
                <c:extLst xmlns:c15="http://schemas.microsoft.com/office/drawing/2012/chart">
                  <c:ext xmlns:c16="http://schemas.microsoft.com/office/drawing/2014/chart" uri="{C3380CC4-5D6E-409C-BE32-E72D297353CC}">
                    <c16:uniqueId val="{00000007-0C4A-4946-9DA6-C968E1161314}"/>
                  </c:ext>
                </c:extLst>
              </c15:ser>
            </c15:filteredScatterSeries>
            <c15:filteredScatterSeries>
              <c15:ser>
                <c:idx val="5"/>
                <c:order val="6"/>
                <c:tx>
                  <c:v>Fe2O3/P25 light</c:v>
                </c:tx>
                <c:spPr>
                  <a:ln w="12700" cap="rnd">
                    <a:solidFill>
                      <a:sysClr val="windowText" lastClr="000000"/>
                    </a:solidFill>
                    <a:prstDash val="dash"/>
                    <a:round/>
                  </a:ln>
                  <a:effectLst/>
                </c:spPr>
                <c:marker>
                  <c:symbol val="circle"/>
                  <c:size val="5"/>
                  <c:spPr>
                    <a:solidFill>
                      <a:schemeClr val="tx1"/>
                    </a:solidFill>
                    <a:ln w="12700">
                      <a:solidFill>
                        <a:sysClr val="windowText" lastClr="000000"/>
                      </a:solidFill>
                      <a:prstDash val="dash"/>
                    </a:ln>
                    <a:effectLst/>
                  </c:spPr>
                </c:marker>
                <c:xVal>
                  <c:numRef>
                    <c:extLst xmlns:c15="http://schemas.microsoft.com/office/drawing/2012/chart">
                      <c:ext xmlns:c15="http://schemas.microsoft.com/office/drawing/2012/chart" uri="{02D57815-91ED-43cb-92C2-25804820EDAC}">
                        <c15:formulaRef>
                          <c15:sqref>Foglio1!$P$19:$P$23</c15:sqref>
                        </c15:formulaRef>
                      </c:ext>
                    </c:extLst>
                    <c:numCache>
                      <c:formatCode>General</c:formatCode>
                      <c:ptCount val="5"/>
                      <c:pt idx="0">
                        <c:v>0</c:v>
                      </c:pt>
                      <c:pt idx="1">
                        <c:v>0.5</c:v>
                      </c:pt>
                      <c:pt idx="2">
                        <c:v>1</c:v>
                      </c:pt>
                      <c:pt idx="3">
                        <c:v>2</c:v>
                      </c:pt>
                      <c:pt idx="4">
                        <c:v>3</c:v>
                      </c:pt>
                    </c:numCache>
                  </c:numRef>
                </c:xVal>
                <c:yVal>
                  <c:numRef>
                    <c:extLst xmlns:c15="http://schemas.microsoft.com/office/drawing/2012/chart">
                      <c:ext xmlns:c15="http://schemas.microsoft.com/office/drawing/2012/chart" uri="{02D57815-91ED-43cb-92C2-25804820EDAC}">
                        <c15:formulaRef>
                          <c15:sqref>Foglio1!$Q$19:$Q$23</c15:sqref>
                        </c15:formulaRef>
                      </c:ext>
                    </c:extLst>
                    <c:numCache>
                      <c:formatCode>0.0</c:formatCode>
                      <c:ptCount val="5"/>
                      <c:pt idx="0">
                        <c:v>5.8506249662649275</c:v>
                      </c:pt>
                      <c:pt idx="1">
                        <c:v>9.0170593013809892</c:v>
                      </c:pt>
                      <c:pt idx="2">
                        <c:v>18.919287213877304</c:v>
                      </c:pt>
                      <c:pt idx="3">
                        <c:v>22.041655859782779</c:v>
                      </c:pt>
                      <c:pt idx="4">
                        <c:v>26.538768984812144</c:v>
                      </c:pt>
                    </c:numCache>
                  </c:numRef>
                </c:yVal>
                <c:smooth val="0"/>
                <c:extLst xmlns:c15="http://schemas.microsoft.com/office/drawing/2012/chart">
                  <c:ext xmlns:c16="http://schemas.microsoft.com/office/drawing/2014/chart" uri="{C3380CC4-5D6E-409C-BE32-E72D297353CC}">
                    <c16:uniqueId val="{00000008-0C4A-4946-9DA6-C968E1161314}"/>
                  </c:ext>
                </c:extLst>
              </c15:ser>
            </c15:filteredScatterSeries>
            <c15:filteredScatterSeries>
              <c15:ser>
                <c:idx val="4"/>
                <c:order val="7"/>
                <c:tx>
                  <c:v>Fe2O3/P25 dark</c:v>
                </c:tx>
                <c:spPr>
                  <a:ln w="12700" cap="rnd">
                    <a:solidFill>
                      <a:sysClr val="windowText" lastClr="000000"/>
                    </a:solidFill>
                    <a:prstDash val="lgDashDotDot"/>
                    <a:round/>
                  </a:ln>
                  <a:effectLst/>
                </c:spPr>
                <c:marker>
                  <c:symbol val="x"/>
                  <c:size val="5"/>
                  <c:spPr>
                    <a:solidFill>
                      <a:schemeClr val="tx1"/>
                    </a:solidFill>
                    <a:ln w="12700">
                      <a:solidFill>
                        <a:sysClr val="windowText" lastClr="000000"/>
                      </a:solidFill>
                      <a:prstDash val="lgDashDotDot"/>
                    </a:ln>
                    <a:effectLst/>
                  </c:spPr>
                </c:marker>
                <c:xVal>
                  <c:numRef>
                    <c:extLst xmlns:c15="http://schemas.microsoft.com/office/drawing/2012/chart">
                      <c:ext xmlns:c15="http://schemas.microsoft.com/office/drawing/2012/chart" uri="{02D57815-91ED-43cb-92C2-25804820EDAC}">
                        <c15:formulaRef>
                          <c15:sqref>Foglio1!$P$9:$P$13</c15:sqref>
                        </c15:formulaRef>
                      </c:ext>
                    </c:extLst>
                    <c:numCache>
                      <c:formatCode>General</c:formatCode>
                      <c:ptCount val="5"/>
                      <c:pt idx="0">
                        <c:v>0</c:v>
                      </c:pt>
                      <c:pt idx="1">
                        <c:v>0.5</c:v>
                      </c:pt>
                      <c:pt idx="2">
                        <c:v>1</c:v>
                      </c:pt>
                      <c:pt idx="3">
                        <c:v>2</c:v>
                      </c:pt>
                      <c:pt idx="4">
                        <c:v>3</c:v>
                      </c:pt>
                    </c:numCache>
                  </c:numRef>
                </c:xVal>
                <c:yVal>
                  <c:numRef>
                    <c:extLst xmlns:c15="http://schemas.microsoft.com/office/drawing/2012/chart">
                      <c:ext xmlns:c15="http://schemas.microsoft.com/office/drawing/2012/chart" uri="{02D57815-91ED-43cb-92C2-25804820EDAC}">
                        <c15:formulaRef>
                          <c15:sqref>Foglio1!$Q$9:$Q$13</c15:sqref>
                        </c15:formulaRef>
                      </c:ext>
                    </c:extLst>
                    <c:numCache>
                      <c:formatCode>0.0</c:formatCode>
                      <c:ptCount val="5"/>
                      <c:pt idx="0">
                        <c:v>5.8506249662649275</c:v>
                      </c:pt>
                      <c:pt idx="1">
                        <c:v>10.234375000000002</c:v>
                      </c:pt>
                      <c:pt idx="2">
                        <c:v>13.2</c:v>
                      </c:pt>
                      <c:pt idx="3">
                        <c:v>13</c:v>
                      </c:pt>
                      <c:pt idx="4">
                        <c:v>13.713060559304488</c:v>
                      </c:pt>
                    </c:numCache>
                  </c:numRef>
                </c:yVal>
                <c:smooth val="0"/>
                <c:extLst xmlns:c15="http://schemas.microsoft.com/office/drawing/2012/chart">
                  <c:ext xmlns:c16="http://schemas.microsoft.com/office/drawing/2014/chart" uri="{C3380CC4-5D6E-409C-BE32-E72D297353CC}">
                    <c16:uniqueId val="{00000009-0C4A-4946-9DA6-C968E1161314}"/>
                  </c:ext>
                </c:extLst>
              </c15:ser>
            </c15:filteredScatterSeries>
            <c15:filteredScatterSeries>
              <c15:ser>
                <c:idx val="8"/>
                <c:order val="8"/>
                <c:tx>
                  <c:v>1%Fe-TiO2 light</c:v>
                </c:tx>
                <c:spPr>
                  <a:ln w="12700" cap="rnd">
                    <a:solidFill>
                      <a:sysClr val="windowText" lastClr="000000"/>
                    </a:solidFill>
                    <a:prstDash val="dash"/>
                    <a:round/>
                  </a:ln>
                  <a:effectLst/>
                </c:spPr>
                <c:marker>
                  <c:symbol val="circle"/>
                  <c:size val="5"/>
                  <c:spPr>
                    <a:solidFill>
                      <a:schemeClr val="tx1"/>
                    </a:solidFill>
                    <a:ln w="12700">
                      <a:solidFill>
                        <a:sysClr val="windowText" lastClr="000000"/>
                      </a:solidFill>
                      <a:prstDash val="dash"/>
                    </a:ln>
                    <a:effectLst/>
                  </c:spPr>
                </c:marker>
                <c:xVal>
                  <c:numRef>
                    <c:extLst xmlns:c15="http://schemas.microsoft.com/office/drawing/2012/chart">
                      <c:ext xmlns:c15="http://schemas.microsoft.com/office/drawing/2012/chart" uri="{02D57815-91ED-43cb-92C2-25804820EDAC}">
                        <c15:formulaRef>
                          <c15:sqref>Foglio1!$AM$20:$AM$25</c15:sqref>
                        </c15:formulaRef>
                      </c:ext>
                    </c:extLst>
                    <c:numCache>
                      <c:formatCode>General</c:formatCode>
                      <c:ptCount val="6"/>
                      <c:pt idx="0">
                        <c:v>0</c:v>
                      </c:pt>
                      <c:pt idx="1">
                        <c:v>0.5</c:v>
                      </c:pt>
                      <c:pt idx="2">
                        <c:v>1</c:v>
                      </c:pt>
                      <c:pt idx="3">
                        <c:v>2</c:v>
                      </c:pt>
                      <c:pt idx="4">
                        <c:v>2.5</c:v>
                      </c:pt>
                      <c:pt idx="5">
                        <c:v>3</c:v>
                      </c:pt>
                    </c:numCache>
                  </c:numRef>
                </c:xVal>
                <c:yVal>
                  <c:numRef>
                    <c:extLst xmlns:c15="http://schemas.microsoft.com/office/drawing/2012/chart">
                      <c:ext xmlns:c15="http://schemas.microsoft.com/office/drawing/2012/chart" uri="{02D57815-91ED-43cb-92C2-25804820EDAC}">
                        <c15:formulaRef>
                          <c15:sqref>Foglio1!$AN$20:$AN$25</c15:sqref>
                        </c15:formulaRef>
                      </c:ext>
                    </c:extLst>
                    <c:numCache>
                      <c:formatCode>0.0</c:formatCode>
                      <c:ptCount val="6"/>
                      <c:pt idx="0" formatCode="General">
                        <c:v>17</c:v>
                      </c:pt>
                      <c:pt idx="1">
                        <c:v>28.81578947368422</c:v>
                      </c:pt>
                      <c:pt idx="2">
                        <c:v>41.586497890295362</c:v>
                      </c:pt>
                      <c:pt idx="3">
                        <c:v>52.514718250630793</c:v>
                      </c:pt>
                      <c:pt idx="4">
                        <c:v>54.1</c:v>
                      </c:pt>
                      <c:pt idx="5">
                        <c:v>56.699999999999996</c:v>
                      </c:pt>
                    </c:numCache>
                  </c:numRef>
                </c:yVal>
                <c:smooth val="0"/>
                <c:extLst xmlns:c15="http://schemas.microsoft.com/office/drawing/2012/chart">
                  <c:ext xmlns:c16="http://schemas.microsoft.com/office/drawing/2014/chart" uri="{C3380CC4-5D6E-409C-BE32-E72D297353CC}">
                    <c16:uniqueId val="{0000000A-0C4A-4946-9DA6-C968E1161314}"/>
                  </c:ext>
                </c:extLst>
              </c15:ser>
            </c15:filteredScatterSeries>
            <c15:filteredScatterSeries>
              <c15:ser>
                <c:idx val="9"/>
                <c:order val="9"/>
                <c:tx>
                  <c:v>1%Fe-TiO2 dark</c:v>
                </c:tx>
                <c:spPr>
                  <a:ln w="12700" cap="rnd">
                    <a:solidFill>
                      <a:sysClr val="windowText" lastClr="000000"/>
                    </a:solidFill>
                    <a:prstDash val="dash"/>
                    <a:round/>
                  </a:ln>
                  <a:effectLst/>
                </c:spPr>
                <c:marker>
                  <c:symbol val="circle"/>
                  <c:size val="5"/>
                  <c:spPr>
                    <a:solidFill>
                      <a:sysClr val="window" lastClr="FFFFFF"/>
                    </a:solidFill>
                    <a:ln w="12700">
                      <a:solidFill>
                        <a:sysClr val="windowText" lastClr="000000"/>
                      </a:solidFill>
                      <a:prstDash val="dash"/>
                    </a:ln>
                    <a:effectLst/>
                  </c:spPr>
                </c:marker>
                <c:xVal>
                  <c:numRef>
                    <c:extLst xmlns:c15="http://schemas.microsoft.com/office/drawing/2012/chart">
                      <c:ext xmlns:c15="http://schemas.microsoft.com/office/drawing/2012/chart" uri="{02D57815-91ED-43cb-92C2-25804820EDAC}">
                        <c15:formulaRef>
                          <c15:sqref>Foglio1!$AN$10:$AN$14</c15:sqref>
                        </c15:formulaRef>
                      </c:ext>
                    </c:extLst>
                    <c:numCache>
                      <c:formatCode>0.00</c:formatCode>
                      <c:ptCount val="5"/>
                      <c:pt idx="0">
                        <c:v>0</c:v>
                      </c:pt>
                      <c:pt idx="1">
                        <c:v>0.5</c:v>
                      </c:pt>
                      <c:pt idx="2">
                        <c:v>1</c:v>
                      </c:pt>
                      <c:pt idx="3">
                        <c:v>2</c:v>
                      </c:pt>
                      <c:pt idx="4">
                        <c:v>3</c:v>
                      </c:pt>
                    </c:numCache>
                  </c:numRef>
                </c:xVal>
                <c:yVal>
                  <c:numRef>
                    <c:extLst xmlns:c15="http://schemas.microsoft.com/office/drawing/2012/chart">
                      <c:ext xmlns:c15="http://schemas.microsoft.com/office/drawing/2012/chart" uri="{02D57815-91ED-43cb-92C2-25804820EDAC}">
                        <c15:formulaRef>
                          <c15:sqref>Foglio1!$AO$10:$AO$14</c15:sqref>
                        </c15:formulaRef>
                      </c:ext>
                    </c:extLst>
                    <c:numCache>
                      <c:formatCode>0.00</c:formatCode>
                      <c:ptCount val="5"/>
                      <c:pt idx="0">
                        <c:v>17</c:v>
                      </c:pt>
                      <c:pt idx="1">
                        <c:v>19.5</c:v>
                      </c:pt>
                      <c:pt idx="2">
                        <c:v>23.9</c:v>
                      </c:pt>
                      <c:pt idx="3">
                        <c:v>29.8</c:v>
                      </c:pt>
                      <c:pt idx="4">
                        <c:v>32</c:v>
                      </c:pt>
                    </c:numCache>
                  </c:numRef>
                </c:yVal>
                <c:smooth val="0"/>
                <c:extLst xmlns:c15="http://schemas.microsoft.com/office/drawing/2012/chart">
                  <c:ext xmlns:c16="http://schemas.microsoft.com/office/drawing/2014/chart" uri="{C3380CC4-5D6E-409C-BE32-E72D297353CC}">
                    <c16:uniqueId val="{0000000B-0C4A-4946-9DA6-C968E1161314}"/>
                  </c:ext>
                </c:extLst>
              </c15:ser>
            </c15:filteredScatterSeries>
            <c15:filteredScatterSeries>
              <c15:ser>
                <c:idx val="10"/>
                <c:order val="10"/>
                <c:tx>
                  <c:v>1%Fe-P25 light</c:v>
                </c:tx>
                <c:spPr>
                  <a:ln w="12700" cap="rnd">
                    <a:solidFill>
                      <a:schemeClr val="accent5">
                        <a:lumMod val="60000"/>
                      </a:schemeClr>
                    </a:solidFill>
                    <a:prstDash val="sysDot"/>
                    <a:round/>
                  </a:ln>
                  <a:effectLst/>
                </c:spPr>
                <c:marker>
                  <c:symbol val="circle"/>
                  <c:size val="5"/>
                  <c:spPr>
                    <a:solidFill>
                      <a:schemeClr val="tx1"/>
                    </a:solidFill>
                    <a:ln w="12700">
                      <a:solidFill>
                        <a:schemeClr val="accent5">
                          <a:lumMod val="60000"/>
                        </a:schemeClr>
                      </a:solidFill>
                      <a:prstDash val="sysDot"/>
                    </a:ln>
                    <a:effectLst/>
                  </c:spPr>
                </c:marker>
                <c:xVal>
                  <c:numRef>
                    <c:extLst xmlns:c15="http://schemas.microsoft.com/office/drawing/2012/chart">
                      <c:ext xmlns:c15="http://schemas.microsoft.com/office/drawing/2012/chart" uri="{02D57815-91ED-43cb-92C2-25804820EDAC}">
                        <c15:formulaRef>
                          <c15:sqref>Foglio1!$AI$20:$AI$26</c15:sqref>
                        </c15:formulaRef>
                      </c:ext>
                    </c:extLst>
                    <c:numCache>
                      <c:formatCode>General</c:formatCode>
                      <c:ptCount val="7"/>
                      <c:pt idx="0">
                        <c:v>0</c:v>
                      </c:pt>
                      <c:pt idx="1">
                        <c:v>0.5</c:v>
                      </c:pt>
                      <c:pt idx="2">
                        <c:v>1</c:v>
                      </c:pt>
                      <c:pt idx="3">
                        <c:v>1.5</c:v>
                      </c:pt>
                      <c:pt idx="4">
                        <c:v>2</c:v>
                      </c:pt>
                      <c:pt idx="5">
                        <c:v>2.5</c:v>
                      </c:pt>
                      <c:pt idx="6">
                        <c:v>3</c:v>
                      </c:pt>
                    </c:numCache>
                  </c:numRef>
                </c:xVal>
                <c:yVal>
                  <c:numRef>
                    <c:extLst xmlns:c15="http://schemas.microsoft.com/office/drawing/2012/chart">
                      <c:ext xmlns:c15="http://schemas.microsoft.com/office/drawing/2012/chart" uri="{02D57815-91ED-43cb-92C2-25804820EDAC}">
                        <c15:formulaRef>
                          <c15:sqref>Foglio1!$AJ$20:$AJ$26</c15:sqref>
                        </c15:formulaRef>
                      </c:ext>
                    </c:extLst>
                    <c:numCache>
                      <c:formatCode>General</c:formatCode>
                      <c:ptCount val="7"/>
                      <c:pt idx="0">
                        <c:v>10.4</c:v>
                      </c:pt>
                      <c:pt idx="1">
                        <c:v>11.1</c:v>
                      </c:pt>
                      <c:pt idx="2">
                        <c:v>13.9</c:v>
                      </c:pt>
                      <c:pt idx="3">
                        <c:v>26.9</c:v>
                      </c:pt>
                      <c:pt idx="4">
                        <c:v>31</c:v>
                      </c:pt>
                      <c:pt idx="5">
                        <c:v>42.8</c:v>
                      </c:pt>
                      <c:pt idx="6">
                        <c:v>45.5</c:v>
                      </c:pt>
                    </c:numCache>
                  </c:numRef>
                </c:yVal>
                <c:smooth val="0"/>
                <c:extLst xmlns:c15="http://schemas.microsoft.com/office/drawing/2012/chart">
                  <c:ext xmlns:c16="http://schemas.microsoft.com/office/drawing/2014/chart" uri="{C3380CC4-5D6E-409C-BE32-E72D297353CC}">
                    <c16:uniqueId val="{0000000C-0C4A-4946-9DA6-C968E1161314}"/>
                  </c:ext>
                </c:extLst>
              </c15:ser>
            </c15:filteredScatterSeries>
            <c15:filteredScatterSeries>
              <c15:ser>
                <c:idx val="11"/>
                <c:order val="11"/>
                <c:tx>
                  <c:v>1%Fe-P25 dark</c:v>
                </c:tx>
                <c:spPr>
                  <a:ln w="12700" cap="rnd">
                    <a:solidFill>
                      <a:schemeClr val="accent6">
                        <a:lumMod val="60000"/>
                      </a:schemeClr>
                    </a:solidFill>
                    <a:prstDash val="sysDot"/>
                    <a:round/>
                  </a:ln>
                  <a:effectLst/>
                </c:spPr>
                <c:marker>
                  <c:symbol val="circle"/>
                  <c:size val="5"/>
                  <c:spPr>
                    <a:solidFill>
                      <a:schemeClr val="bg1"/>
                    </a:solidFill>
                    <a:ln w="12700">
                      <a:solidFill>
                        <a:schemeClr val="accent6">
                          <a:lumMod val="60000"/>
                        </a:schemeClr>
                      </a:solidFill>
                      <a:prstDash val="sysDot"/>
                    </a:ln>
                    <a:effectLst/>
                  </c:spPr>
                </c:marker>
                <c:xVal>
                  <c:numRef>
                    <c:extLst xmlns:c15="http://schemas.microsoft.com/office/drawing/2012/chart">
                      <c:ext xmlns:c15="http://schemas.microsoft.com/office/drawing/2012/chart" uri="{02D57815-91ED-43cb-92C2-25804820EDAC}">
                        <c15:formulaRef>
                          <c15:sqref>Foglio1!$AI$11:$AI$16</c15:sqref>
                        </c15:formulaRef>
                      </c:ext>
                    </c:extLst>
                    <c:numCache>
                      <c:formatCode>General</c:formatCode>
                      <c:ptCount val="6"/>
                      <c:pt idx="0">
                        <c:v>0</c:v>
                      </c:pt>
                      <c:pt idx="1">
                        <c:v>0.5</c:v>
                      </c:pt>
                      <c:pt idx="2">
                        <c:v>1</c:v>
                      </c:pt>
                      <c:pt idx="3">
                        <c:v>1.5</c:v>
                      </c:pt>
                      <c:pt idx="4">
                        <c:v>2</c:v>
                      </c:pt>
                      <c:pt idx="5">
                        <c:v>3</c:v>
                      </c:pt>
                    </c:numCache>
                  </c:numRef>
                </c:xVal>
                <c:yVal>
                  <c:numRef>
                    <c:extLst xmlns:c15="http://schemas.microsoft.com/office/drawing/2012/chart">
                      <c:ext xmlns:c15="http://schemas.microsoft.com/office/drawing/2012/chart" uri="{02D57815-91ED-43cb-92C2-25804820EDAC}">
                        <c15:formulaRef>
                          <c15:sqref>Foglio1!$AJ$11:$AJ$16</c15:sqref>
                        </c15:formulaRef>
                      </c:ext>
                    </c:extLst>
                    <c:numCache>
                      <c:formatCode>General</c:formatCode>
                      <c:ptCount val="6"/>
                      <c:pt idx="0">
                        <c:v>10.4</c:v>
                      </c:pt>
                      <c:pt idx="1">
                        <c:v>8</c:v>
                      </c:pt>
                      <c:pt idx="2">
                        <c:v>12</c:v>
                      </c:pt>
                      <c:pt idx="3">
                        <c:v>13</c:v>
                      </c:pt>
                      <c:pt idx="4">
                        <c:v>10.8</c:v>
                      </c:pt>
                      <c:pt idx="5">
                        <c:v>12</c:v>
                      </c:pt>
                    </c:numCache>
                  </c:numRef>
                </c:yVal>
                <c:smooth val="0"/>
                <c:extLst xmlns:c15="http://schemas.microsoft.com/office/drawing/2012/chart">
                  <c:ext xmlns:c16="http://schemas.microsoft.com/office/drawing/2014/chart" uri="{C3380CC4-5D6E-409C-BE32-E72D297353CC}">
                    <c16:uniqueId val="{0000000D-0C4A-4946-9DA6-C968E1161314}"/>
                  </c:ext>
                </c:extLst>
              </c15:ser>
            </c15:filteredScatterSeries>
          </c:ext>
        </c:extLst>
      </c:scatterChart>
      <c:valAx>
        <c:axId val="1978120512"/>
        <c:scaling>
          <c:orientation val="minMax"/>
          <c:max val="3"/>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it-IT" b="0">
                    <a:solidFill>
                      <a:sysClr val="windowText" lastClr="000000"/>
                    </a:solidFill>
                  </a:rPr>
                  <a:t>Time (h)</a:t>
                </a:r>
              </a:p>
            </c:rich>
          </c:tx>
          <c:layout>
            <c:manualLayout>
              <c:xMode val="edge"/>
              <c:yMode val="edge"/>
              <c:x val="0.39739584061761374"/>
              <c:y val="0.89256922029298325"/>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it-IT"/>
            </a:p>
          </c:txPr>
        </c:title>
        <c:numFmt formatCode="General" sourceLinked="1"/>
        <c:majorTickMark val="in"/>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it-IT"/>
          </a:p>
        </c:txPr>
        <c:crossAx val="1978115520"/>
        <c:crosses val="autoZero"/>
        <c:crossBetween val="midCat"/>
      </c:valAx>
      <c:valAx>
        <c:axId val="1978115520"/>
        <c:scaling>
          <c:orientation val="minMax"/>
          <c:max val="7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t-IT" b="0">
                    <a:solidFill>
                      <a:sysClr val="windowText" lastClr="000000"/>
                    </a:solidFill>
                  </a:rPr>
                  <a:t>Removal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t-IT"/>
            </a:p>
          </c:txPr>
        </c:title>
        <c:numFmt formatCode="0" sourceLinked="0"/>
        <c:majorTickMark val="in"/>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it-IT"/>
          </a:p>
        </c:txPr>
        <c:crossAx val="1978120512"/>
        <c:crosses val="autoZero"/>
        <c:crossBetween val="midCat"/>
      </c:valAx>
      <c:spPr>
        <a:noFill/>
        <a:ln>
          <a:solidFill>
            <a:sysClr val="windowText" lastClr="000000"/>
          </a:solidFill>
        </a:ln>
        <a:effectLst/>
      </c:spPr>
    </c:plotArea>
    <c:legend>
      <c:legendPos val="r"/>
      <c:layout>
        <c:manualLayout>
          <c:xMode val="edge"/>
          <c:yMode val="edge"/>
          <c:x val="9.6804057544496794E-2"/>
          <c:y val="7.7670027436372149E-2"/>
          <c:w val="0.47890703025938858"/>
          <c:h val="0.15108797483883921"/>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it-IT"/>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01300781096034"/>
          <c:y val="7.8320041806439297E-2"/>
          <c:w val="0.52500853221520671"/>
          <c:h val="0.58036662317899568"/>
        </c:manualLayout>
      </c:layout>
      <c:scatterChart>
        <c:scatterStyle val="lineMarker"/>
        <c:varyColors val="0"/>
        <c:ser>
          <c:idx val="6"/>
          <c:order val="4"/>
          <c:tx>
            <c:v>Fe2O3/TiO2 light</c:v>
          </c:tx>
          <c:spPr>
            <a:ln w="12700" cap="rnd">
              <a:solidFill>
                <a:sysClr val="windowText" lastClr="000000"/>
              </a:solidFill>
              <a:prstDash val="dash"/>
              <a:round/>
            </a:ln>
            <a:effectLst/>
          </c:spPr>
          <c:marker>
            <c:symbol val="circle"/>
            <c:size val="3"/>
            <c:spPr>
              <a:solidFill>
                <a:schemeClr val="tx1"/>
              </a:solidFill>
              <a:ln w="12700">
                <a:solidFill>
                  <a:sysClr val="windowText" lastClr="000000"/>
                </a:solidFill>
                <a:prstDash val="dash"/>
              </a:ln>
              <a:effectLst/>
            </c:spPr>
          </c:marker>
          <c:xVal>
            <c:numRef>
              <c:f>Foglio1!$AE$20:$AE$25</c:f>
              <c:numCache>
                <c:formatCode>General</c:formatCode>
                <c:ptCount val="6"/>
                <c:pt idx="0">
                  <c:v>0</c:v>
                </c:pt>
                <c:pt idx="1">
                  <c:v>0.5</c:v>
                </c:pt>
                <c:pt idx="2">
                  <c:v>1</c:v>
                </c:pt>
                <c:pt idx="3">
                  <c:v>1.5</c:v>
                </c:pt>
                <c:pt idx="4">
                  <c:v>2</c:v>
                </c:pt>
                <c:pt idx="5">
                  <c:v>3</c:v>
                </c:pt>
              </c:numCache>
            </c:numRef>
          </c:xVal>
          <c:yVal>
            <c:numRef>
              <c:f>Foglio1!$AF$20:$AF$25</c:f>
              <c:numCache>
                <c:formatCode>0.0</c:formatCode>
                <c:ptCount val="6"/>
                <c:pt idx="0">
                  <c:v>25</c:v>
                </c:pt>
                <c:pt idx="1">
                  <c:v>34</c:v>
                </c:pt>
                <c:pt idx="2">
                  <c:v>42</c:v>
                </c:pt>
                <c:pt idx="3">
                  <c:v>46</c:v>
                </c:pt>
                <c:pt idx="4">
                  <c:v>51</c:v>
                </c:pt>
                <c:pt idx="5">
                  <c:v>56.454121306376358</c:v>
                </c:pt>
              </c:numCache>
            </c:numRef>
          </c:yVal>
          <c:smooth val="0"/>
          <c:extLst>
            <c:ext xmlns:c16="http://schemas.microsoft.com/office/drawing/2014/chart" uri="{C3380CC4-5D6E-409C-BE32-E72D297353CC}">
              <c16:uniqueId val="{00000000-8575-4923-A2A5-3ECC9F934659}"/>
            </c:ext>
          </c:extLst>
        </c:ser>
        <c:ser>
          <c:idx val="7"/>
          <c:order val="5"/>
          <c:tx>
            <c:v>Fe2O3/TiO2 dark</c:v>
          </c:tx>
          <c:spPr>
            <a:ln w="12700" cap="rnd">
              <a:solidFill>
                <a:sysClr val="windowText" lastClr="000000"/>
              </a:solidFill>
              <a:prstDash val="dash"/>
              <a:round/>
            </a:ln>
            <a:effectLst/>
          </c:spPr>
          <c:marker>
            <c:symbol val="circle"/>
            <c:size val="3"/>
            <c:spPr>
              <a:solidFill>
                <a:schemeClr val="bg1"/>
              </a:solidFill>
              <a:ln w="12700">
                <a:solidFill>
                  <a:sysClr val="windowText" lastClr="000000"/>
                </a:solidFill>
                <a:prstDash val="solid"/>
              </a:ln>
              <a:effectLst/>
            </c:spPr>
          </c:marker>
          <c:xVal>
            <c:numRef>
              <c:f>Foglio1!$AE$10:$AE$14</c:f>
              <c:numCache>
                <c:formatCode>General</c:formatCode>
                <c:ptCount val="5"/>
                <c:pt idx="0">
                  <c:v>0</c:v>
                </c:pt>
                <c:pt idx="1">
                  <c:v>0.5</c:v>
                </c:pt>
                <c:pt idx="2">
                  <c:v>1</c:v>
                </c:pt>
                <c:pt idx="3">
                  <c:v>2</c:v>
                </c:pt>
                <c:pt idx="4">
                  <c:v>3</c:v>
                </c:pt>
              </c:numCache>
            </c:numRef>
          </c:xVal>
          <c:yVal>
            <c:numRef>
              <c:f>Foglio1!$AF$10:$AF$14</c:f>
              <c:numCache>
                <c:formatCode>0.0</c:formatCode>
                <c:ptCount val="5"/>
                <c:pt idx="0">
                  <c:v>25</c:v>
                </c:pt>
                <c:pt idx="1">
                  <c:v>24</c:v>
                </c:pt>
                <c:pt idx="2">
                  <c:v>26</c:v>
                </c:pt>
                <c:pt idx="3">
                  <c:v>26.5</c:v>
                </c:pt>
                <c:pt idx="4">
                  <c:v>26.2</c:v>
                </c:pt>
              </c:numCache>
            </c:numRef>
          </c:yVal>
          <c:smooth val="0"/>
          <c:extLst>
            <c:ext xmlns:c16="http://schemas.microsoft.com/office/drawing/2014/chart" uri="{C3380CC4-5D6E-409C-BE32-E72D297353CC}">
              <c16:uniqueId val="{00000001-8575-4923-A2A5-3ECC9F934659}"/>
            </c:ext>
          </c:extLst>
        </c:ser>
        <c:ser>
          <c:idx val="5"/>
          <c:order val="6"/>
          <c:tx>
            <c:v>Fe2O3/P25 light</c:v>
          </c:tx>
          <c:spPr>
            <a:ln w="12700" cap="rnd">
              <a:solidFill>
                <a:sysClr val="windowText" lastClr="000000"/>
              </a:solidFill>
              <a:prstDash val="sysDot"/>
              <a:round/>
            </a:ln>
            <a:effectLst/>
          </c:spPr>
          <c:marker>
            <c:symbol val="circle"/>
            <c:size val="3"/>
            <c:spPr>
              <a:solidFill>
                <a:schemeClr val="tx1"/>
              </a:solidFill>
              <a:ln w="12700">
                <a:solidFill>
                  <a:sysClr val="windowText" lastClr="000000"/>
                </a:solidFill>
                <a:prstDash val="sysDot"/>
              </a:ln>
              <a:effectLst/>
            </c:spPr>
          </c:marker>
          <c:xVal>
            <c:numRef>
              <c:f>Foglio1!$P$19:$P$23</c:f>
              <c:numCache>
                <c:formatCode>General</c:formatCode>
                <c:ptCount val="5"/>
                <c:pt idx="0">
                  <c:v>0</c:v>
                </c:pt>
                <c:pt idx="1">
                  <c:v>0.5</c:v>
                </c:pt>
                <c:pt idx="2">
                  <c:v>1</c:v>
                </c:pt>
                <c:pt idx="3">
                  <c:v>2</c:v>
                </c:pt>
                <c:pt idx="4">
                  <c:v>3</c:v>
                </c:pt>
              </c:numCache>
              <c:extLst xmlns:c15="http://schemas.microsoft.com/office/drawing/2012/chart"/>
            </c:numRef>
          </c:xVal>
          <c:yVal>
            <c:numRef>
              <c:f>Foglio1!$Q$19:$Q$23</c:f>
              <c:numCache>
                <c:formatCode>0.0</c:formatCode>
                <c:ptCount val="5"/>
                <c:pt idx="0">
                  <c:v>5.8506249662649275</c:v>
                </c:pt>
                <c:pt idx="1">
                  <c:v>9.0170593013809892</c:v>
                </c:pt>
                <c:pt idx="2">
                  <c:v>18.919287213877304</c:v>
                </c:pt>
                <c:pt idx="3">
                  <c:v>22.041655859782779</c:v>
                </c:pt>
                <c:pt idx="4">
                  <c:v>26.538768984812144</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2-8575-4923-A2A5-3ECC9F934659}"/>
            </c:ext>
          </c:extLst>
        </c:ser>
        <c:ser>
          <c:idx val="4"/>
          <c:order val="7"/>
          <c:tx>
            <c:v>Fe2O3/P25 dark</c:v>
          </c:tx>
          <c:spPr>
            <a:ln w="12700" cap="rnd">
              <a:solidFill>
                <a:sysClr val="windowText" lastClr="000000"/>
              </a:solidFill>
              <a:prstDash val="sysDot"/>
              <a:round/>
            </a:ln>
            <a:effectLst/>
          </c:spPr>
          <c:marker>
            <c:symbol val="circle"/>
            <c:size val="3"/>
            <c:spPr>
              <a:noFill/>
              <a:ln w="12700">
                <a:solidFill>
                  <a:sysClr val="windowText" lastClr="000000"/>
                </a:solidFill>
                <a:prstDash val="solid"/>
              </a:ln>
              <a:effectLst/>
            </c:spPr>
          </c:marker>
          <c:xVal>
            <c:numRef>
              <c:f>Foglio1!$P$9:$P$13</c:f>
              <c:numCache>
                <c:formatCode>General</c:formatCode>
                <c:ptCount val="5"/>
                <c:pt idx="0">
                  <c:v>0</c:v>
                </c:pt>
                <c:pt idx="1">
                  <c:v>0.5</c:v>
                </c:pt>
                <c:pt idx="2">
                  <c:v>1</c:v>
                </c:pt>
                <c:pt idx="3">
                  <c:v>2</c:v>
                </c:pt>
                <c:pt idx="4">
                  <c:v>3</c:v>
                </c:pt>
              </c:numCache>
              <c:extLst xmlns:c15="http://schemas.microsoft.com/office/drawing/2012/chart"/>
            </c:numRef>
          </c:xVal>
          <c:yVal>
            <c:numRef>
              <c:f>Foglio1!$Q$9:$Q$13</c:f>
              <c:numCache>
                <c:formatCode>0.0</c:formatCode>
                <c:ptCount val="5"/>
                <c:pt idx="0">
                  <c:v>5.8506249662649275</c:v>
                </c:pt>
                <c:pt idx="1">
                  <c:v>10.234375000000002</c:v>
                </c:pt>
                <c:pt idx="2">
                  <c:v>13.2</c:v>
                </c:pt>
                <c:pt idx="3">
                  <c:v>13</c:v>
                </c:pt>
                <c:pt idx="4">
                  <c:v>13.713060559304488</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3-8575-4923-A2A5-3ECC9F934659}"/>
            </c:ext>
          </c:extLst>
        </c:ser>
        <c:dLbls>
          <c:showLegendKey val="0"/>
          <c:showVal val="0"/>
          <c:showCatName val="0"/>
          <c:showSerName val="0"/>
          <c:showPercent val="0"/>
          <c:showBubbleSize val="0"/>
        </c:dLbls>
        <c:axId val="1978120512"/>
        <c:axId val="1978115520"/>
        <c:extLst>
          <c:ext xmlns:c15="http://schemas.microsoft.com/office/drawing/2012/chart" uri="{02D57815-91ED-43cb-92C2-25804820EDAC}">
            <c15:filteredScatterSeries>
              <c15:ser>
                <c:idx val="0"/>
                <c:order val="0"/>
                <c:tx>
                  <c:v>P25 dark</c:v>
                </c:tx>
                <c:spPr>
                  <a:ln w="12700" cap="rnd">
                    <a:solidFill>
                      <a:schemeClr val="tx1"/>
                    </a:solidFill>
                    <a:prstDash val="dash"/>
                    <a:round/>
                  </a:ln>
                  <a:effectLst/>
                </c:spPr>
                <c:marker>
                  <c:symbol val="triangle"/>
                  <c:size val="5"/>
                  <c:spPr>
                    <a:solidFill>
                      <a:schemeClr val="tx1"/>
                    </a:solidFill>
                    <a:ln w="12700">
                      <a:solidFill>
                        <a:schemeClr val="tx1"/>
                      </a:solidFill>
                      <a:prstDash val="dash"/>
                    </a:ln>
                    <a:effectLst/>
                  </c:spPr>
                </c:marker>
                <c:xVal>
                  <c:numRef>
                    <c:extLst>
                      <c:ext uri="{02D57815-91ED-43cb-92C2-25804820EDAC}">
                        <c15:formulaRef>
                          <c15:sqref>Foglio1!$H$9:$H$14</c15:sqref>
                        </c15:formulaRef>
                      </c:ext>
                    </c:extLst>
                    <c:numCache>
                      <c:formatCode>General</c:formatCode>
                      <c:ptCount val="6"/>
                      <c:pt idx="0">
                        <c:v>0</c:v>
                      </c:pt>
                      <c:pt idx="1">
                        <c:v>0.5</c:v>
                      </c:pt>
                      <c:pt idx="2">
                        <c:v>1</c:v>
                      </c:pt>
                      <c:pt idx="3">
                        <c:v>2</c:v>
                      </c:pt>
                      <c:pt idx="4">
                        <c:v>2.5</c:v>
                      </c:pt>
                      <c:pt idx="5">
                        <c:v>3</c:v>
                      </c:pt>
                    </c:numCache>
                  </c:numRef>
                </c:xVal>
                <c:yVal>
                  <c:numRef>
                    <c:extLst>
                      <c:ext uri="{02D57815-91ED-43cb-92C2-25804820EDAC}">
                        <c15:formulaRef>
                          <c15:sqref>Foglio1!$I$9:$I$14</c15:sqref>
                        </c15:formulaRef>
                      </c:ext>
                    </c:extLst>
                    <c:numCache>
                      <c:formatCode>0.0</c:formatCode>
                      <c:ptCount val="6"/>
                      <c:pt idx="0">
                        <c:v>7.3967471685880488</c:v>
                      </c:pt>
                      <c:pt idx="1">
                        <c:v>5.615900818926292</c:v>
                      </c:pt>
                      <c:pt idx="2">
                        <c:v>11.131484557472394</c:v>
                      </c:pt>
                      <c:pt idx="3">
                        <c:v>10</c:v>
                      </c:pt>
                      <c:pt idx="4">
                        <c:v>9.0272373540855941</c:v>
                      </c:pt>
                      <c:pt idx="5">
                        <c:v>9.5</c:v>
                      </c:pt>
                    </c:numCache>
                  </c:numRef>
                </c:yVal>
                <c:smooth val="0"/>
                <c:extLst>
                  <c:ext xmlns:c16="http://schemas.microsoft.com/office/drawing/2014/chart" uri="{C3380CC4-5D6E-409C-BE32-E72D297353CC}">
                    <c16:uniqueId val="{00000004-8575-4923-A2A5-3ECC9F934659}"/>
                  </c:ext>
                </c:extLst>
              </c15:ser>
            </c15:filteredScatterSeries>
            <c15:filteredScatterSeries>
              <c15:ser>
                <c:idx val="1"/>
                <c:order val="1"/>
                <c:tx>
                  <c:v>P25 with light</c:v>
                </c:tx>
                <c:spPr>
                  <a:ln w="12700" cap="rnd">
                    <a:solidFill>
                      <a:sysClr val="windowText" lastClr="000000"/>
                    </a:solidFill>
                    <a:prstDash val="sysDot"/>
                    <a:round/>
                  </a:ln>
                  <a:effectLst/>
                </c:spPr>
                <c:marker>
                  <c:symbol val="diamond"/>
                  <c:size val="5"/>
                  <c:spPr>
                    <a:solidFill>
                      <a:schemeClr val="tx1"/>
                    </a:solidFill>
                    <a:ln w="12700">
                      <a:solidFill>
                        <a:sysClr val="windowText" lastClr="000000"/>
                      </a:solidFill>
                      <a:prstDash val="sysDot"/>
                    </a:ln>
                    <a:effectLst/>
                  </c:spPr>
                </c:marker>
                <c:xVal>
                  <c:numRef>
                    <c:extLst xmlns:c15="http://schemas.microsoft.com/office/drawing/2012/chart">
                      <c:ext xmlns:c15="http://schemas.microsoft.com/office/drawing/2012/chart" uri="{02D57815-91ED-43cb-92C2-25804820EDAC}">
                        <c15:formulaRef>
                          <c15:sqref>Foglio1!$H$19:$H$23</c15:sqref>
                        </c15:formulaRef>
                      </c:ext>
                    </c:extLst>
                    <c:numCache>
                      <c:formatCode>General</c:formatCode>
                      <c:ptCount val="5"/>
                      <c:pt idx="0">
                        <c:v>0</c:v>
                      </c:pt>
                      <c:pt idx="1">
                        <c:v>0.5</c:v>
                      </c:pt>
                      <c:pt idx="2">
                        <c:v>1</c:v>
                      </c:pt>
                      <c:pt idx="3">
                        <c:v>2</c:v>
                      </c:pt>
                      <c:pt idx="4">
                        <c:v>3</c:v>
                      </c:pt>
                    </c:numCache>
                  </c:numRef>
                </c:xVal>
                <c:yVal>
                  <c:numRef>
                    <c:extLst xmlns:c15="http://schemas.microsoft.com/office/drawing/2012/chart">
                      <c:ext xmlns:c15="http://schemas.microsoft.com/office/drawing/2012/chart" uri="{02D57815-91ED-43cb-92C2-25804820EDAC}">
                        <c15:formulaRef>
                          <c15:sqref>Foglio1!$I$19:$I$23</c15:sqref>
                        </c15:formulaRef>
                      </c:ext>
                    </c:extLst>
                    <c:numCache>
                      <c:formatCode>0.0</c:formatCode>
                      <c:ptCount val="5"/>
                      <c:pt idx="0">
                        <c:v>7.3967471685880488</c:v>
                      </c:pt>
                      <c:pt idx="1">
                        <c:v>7.5956121431136419</c:v>
                      </c:pt>
                      <c:pt idx="2">
                        <c:v>7</c:v>
                      </c:pt>
                      <c:pt idx="3">
                        <c:v>8.1649831649831626</c:v>
                      </c:pt>
                      <c:pt idx="4">
                        <c:v>8.8000000000000007</c:v>
                      </c:pt>
                    </c:numCache>
                  </c:numRef>
                </c:yVal>
                <c:smooth val="0"/>
                <c:extLst xmlns:c15="http://schemas.microsoft.com/office/drawing/2012/chart">
                  <c:ext xmlns:c16="http://schemas.microsoft.com/office/drawing/2014/chart" uri="{C3380CC4-5D6E-409C-BE32-E72D297353CC}">
                    <c16:uniqueId val="{00000005-8575-4923-A2A5-3ECC9F934659}"/>
                  </c:ext>
                </c:extLst>
              </c15:ser>
            </c15:filteredScatterSeries>
            <c15:filteredScatterSeries>
              <c15:ser>
                <c:idx val="2"/>
                <c:order val="2"/>
                <c:tx>
                  <c:v>sTiO2 dark</c:v>
                </c:tx>
                <c:spPr>
                  <a:ln w="12700" cap="rnd">
                    <a:solidFill>
                      <a:sysClr val="windowText" lastClr="000000"/>
                    </a:solidFill>
                    <a:prstDash val="dash"/>
                    <a:round/>
                  </a:ln>
                  <a:effectLst/>
                </c:spPr>
                <c:marker>
                  <c:symbol val="circle"/>
                  <c:size val="5"/>
                  <c:spPr>
                    <a:solidFill>
                      <a:schemeClr val="tx1"/>
                    </a:solidFill>
                    <a:ln w="12700">
                      <a:solidFill>
                        <a:sysClr val="windowText" lastClr="000000"/>
                      </a:solidFill>
                      <a:prstDash val="dash"/>
                    </a:ln>
                    <a:effectLst/>
                  </c:spPr>
                </c:marker>
                <c:xVal>
                  <c:numRef>
                    <c:extLst xmlns:c15="http://schemas.microsoft.com/office/drawing/2012/chart">
                      <c:ext xmlns:c15="http://schemas.microsoft.com/office/drawing/2012/chart" uri="{02D57815-91ED-43cb-92C2-25804820EDAC}">
                        <c15:formulaRef>
                          <c15:sqref>Foglio1!$L$9:$L$13</c15:sqref>
                        </c15:formulaRef>
                      </c:ext>
                    </c:extLst>
                    <c:numCache>
                      <c:formatCode>General</c:formatCode>
                      <c:ptCount val="5"/>
                      <c:pt idx="0">
                        <c:v>0</c:v>
                      </c:pt>
                      <c:pt idx="1">
                        <c:v>0.5</c:v>
                      </c:pt>
                      <c:pt idx="2">
                        <c:v>1</c:v>
                      </c:pt>
                      <c:pt idx="3">
                        <c:v>2</c:v>
                      </c:pt>
                      <c:pt idx="4">
                        <c:v>3</c:v>
                      </c:pt>
                    </c:numCache>
                  </c:numRef>
                </c:xVal>
                <c:yVal>
                  <c:numRef>
                    <c:extLst xmlns:c15="http://schemas.microsoft.com/office/drawing/2012/chart">
                      <c:ext xmlns:c15="http://schemas.microsoft.com/office/drawing/2012/chart" uri="{02D57815-91ED-43cb-92C2-25804820EDAC}">
                        <c15:formulaRef>
                          <c15:sqref>Foglio1!$M$9:$M$13</c15:sqref>
                        </c15:formulaRef>
                      </c:ext>
                    </c:extLst>
                    <c:numCache>
                      <c:formatCode>0.0</c:formatCode>
                      <c:ptCount val="5"/>
                      <c:pt idx="0">
                        <c:v>10.775727488447615</c:v>
                      </c:pt>
                      <c:pt idx="1">
                        <c:v>19.921875000000007</c:v>
                      </c:pt>
                      <c:pt idx="2">
                        <c:v>25.641025641025649</c:v>
                      </c:pt>
                      <c:pt idx="3">
                        <c:v>45.318984058704459</c:v>
                      </c:pt>
                      <c:pt idx="4">
                        <c:v>50</c:v>
                      </c:pt>
                    </c:numCache>
                  </c:numRef>
                </c:yVal>
                <c:smooth val="0"/>
                <c:extLst xmlns:c15="http://schemas.microsoft.com/office/drawing/2012/chart">
                  <c:ext xmlns:c16="http://schemas.microsoft.com/office/drawing/2014/chart" uri="{C3380CC4-5D6E-409C-BE32-E72D297353CC}">
                    <c16:uniqueId val="{00000006-8575-4923-A2A5-3ECC9F934659}"/>
                  </c:ext>
                </c:extLst>
              </c15:ser>
            </c15:filteredScatterSeries>
            <c15:filteredScatterSeries>
              <c15:ser>
                <c:idx val="3"/>
                <c:order val="3"/>
                <c:tx>
                  <c:v>sTiO2 with light</c:v>
                </c:tx>
                <c:spPr>
                  <a:ln w="12700" cap="rnd">
                    <a:solidFill>
                      <a:sysClr val="windowText" lastClr="000000"/>
                    </a:solidFill>
                    <a:prstDash val="sysDot"/>
                    <a:round/>
                  </a:ln>
                  <a:effectLst/>
                </c:spPr>
                <c:marker>
                  <c:symbol val="circle"/>
                  <c:size val="5"/>
                  <c:spPr>
                    <a:solidFill>
                      <a:sysClr val="window" lastClr="FFFFFF"/>
                    </a:solidFill>
                    <a:ln w="12700">
                      <a:solidFill>
                        <a:sysClr val="windowText" lastClr="000000"/>
                      </a:solidFill>
                      <a:prstDash val="sysDot"/>
                    </a:ln>
                    <a:effectLst/>
                  </c:spPr>
                </c:marker>
                <c:xVal>
                  <c:numRef>
                    <c:extLst xmlns:c15="http://schemas.microsoft.com/office/drawing/2012/chart">
                      <c:ext xmlns:c15="http://schemas.microsoft.com/office/drawing/2012/chart" uri="{02D57815-91ED-43cb-92C2-25804820EDAC}">
                        <c15:formulaRef>
                          <c15:sqref>Foglio1!$L$19:$L$23</c15:sqref>
                        </c15:formulaRef>
                      </c:ext>
                    </c:extLst>
                    <c:numCache>
                      <c:formatCode>General</c:formatCode>
                      <c:ptCount val="5"/>
                      <c:pt idx="0">
                        <c:v>0</c:v>
                      </c:pt>
                      <c:pt idx="1">
                        <c:v>0.5</c:v>
                      </c:pt>
                      <c:pt idx="2">
                        <c:v>1</c:v>
                      </c:pt>
                      <c:pt idx="3">
                        <c:v>2</c:v>
                      </c:pt>
                      <c:pt idx="4">
                        <c:v>3</c:v>
                      </c:pt>
                    </c:numCache>
                  </c:numRef>
                </c:xVal>
                <c:yVal>
                  <c:numRef>
                    <c:extLst xmlns:c15="http://schemas.microsoft.com/office/drawing/2012/chart">
                      <c:ext xmlns:c15="http://schemas.microsoft.com/office/drawing/2012/chart" uri="{02D57815-91ED-43cb-92C2-25804820EDAC}">
                        <c15:formulaRef>
                          <c15:sqref>Foglio1!$M$19:$M$23</c15:sqref>
                        </c15:formulaRef>
                      </c:ext>
                    </c:extLst>
                    <c:numCache>
                      <c:formatCode>0.0</c:formatCode>
                      <c:ptCount val="5"/>
                      <c:pt idx="0">
                        <c:v>10.775727488447615</c:v>
                      </c:pt>
                      <c:pt idx="1">
                        <c:v>19.604316546762597</c:v>
                      </c:pt>
                      <c:pt idx="2">
                        <c:v>25.461421540243194</c:v>
                      </c:pt>
                      <c:pt idx="3">
                        <c:v>40</c:v>
                      </c:pt>
                      <c:pt idx="4">
                        <c:v>50.234375</c:v>
                      </c:pt>
                    </c:numCache>
                  </c:numRef>
                </c:yVal>
                <c:smooth val="0"/>
                <c:extLst xmlns:c15="http://schemas.microsoft.com/office/drawing/2012/chart">
                  <c:ext xmlns:c16="http://schemas.microsoft.com/office/drawing/2014/chart" uri="{C3380CC4-5D6E-409C-BE32-E72D297353CC}">
                    <c16:uniqueId val="{00000007-8575-4923-A2A5-3ECC9F934659}"/>
                  </c:ext>
                </c:extLst>
              </c15:ser>
            </c15:filteredScatterSeries>
          </c:ext>
        </c:extLst>
      </c:scatterChart>
      <c:valAx>
        <c:axId val="1978120512"/>
        <c:scaling>
          <c:orientation val="minMax"/>
          <c:max val="3"/>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it-IT" b="0">
                    <a:solidFill>
                      <a:sysClr val="windowText" lastClr="000000"/>
                    </a:solidFill>
                  </a:rPr>
                  <a:t>Time (h)</a:t>
                </a:r>
              </a:p>
            </c:rich>
          </c:tx>
          <c:layout>
            <c:manualLayout>
              <c:xMode val="edge"/>
              <c:yMode val="edge"/>
              <c:x val="0.32976552014767785"/>
              <c:y val="0.7343614288033000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it-IT"/>
            </a:p>
          </c:txPr>
        </c:title>
        <c:numFmt formatCode="General" sourceLinked="1"/>
        <c:majorTickMark val="in"/>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it-IT"/>
          </a:p>
        </c:txPr>
        <c:crossAx val="1978115520"/>
        <c:crosses val="autoZero"/>
        <c:crossBetween val="midCat"/>
      </c:valAx>
      <c:valAx>
        <c:axId val="1978115520"/>
        <c:scaling>
          <c:orientation val="minMax"/>
          <c:max val="7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t-IT" b="0">
                    <a:solidFill>
                      <a:sysClr val="windowText" lastClr="000000"/>
                    </a:solidFill>
                  </a:rPr>
                  <a:t>Removal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t-IT"/>
            </a:p>
          </c:txPr>
        </c:title>
        <c:numFmt formatCode="0" sourceLinked="0"/>
        <c:majorTickMark val="in"/>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it-IT"/>
          </a:p>
        </c:txPr>
        <c:crossAx val="1978120512"/>
        <c:crosses val="autoZero"/>
        <c:crossBetween val="midCat"/>
      </c:valAx>
      <c:spPr>
        <a:noFill/>
        <a:ln>
          <a:solidFill>
            <a:sysClr val="windowText" lastClr="000000"/>
          </a:solidFill>
        </a:ln>
        <a:effectLst/>
      </c:spPr>
    </c:plotArea>
    <c:legend>
      <c:legendPos val="r"/>
      <c:layout>
        <c:manualLayout>
          <c:xMode val="edge"/>
          <c:yMode val="edge"/>
          <c:x val="0.11513721125173491"/>
          <c:y val="8.7942344311033524E-2"/>
          <c:w val="0.29844924489150898"/>
          <c:h val="0.178801518588457"/>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it-IT"/>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04883297633772"/>
          <c:y val="7.8320209973753274E-2"/>
          <c:w val="0.56966894942729862"/>
          <c:h val="0.72919903969349797"/>
        </c:manualLayout>
      </c:layout>
      <c:scatterChart>
        <c:scatterStyle val="lineMarker"/>
        <c:varyColors val="0"/>
        <c:ser>
          <c:idx val="3"/>
          <c:order val="0"/>
          <c:tx>
            <c:v>sTiO2 light</c:v>
          </c:tx>
          <c:spPr>
            <a:ln w="12700" cap="rnd">
              <a:solidFill>
                <a:sysClr val="windowText" lastClr="000000"/>
              </a:solidFill>
              <a:prstDash val="dash"/>
              <a:round/>
            </a:ln>
            <a:effectLst/>
          </c:spPr>
          <c:marker>
            <c:symbol val="circle"/>
            <c:size val="3"/>
            <c:spPr>
              <a:solidFill>
                <a:schemeClr val="tx1"/>
              </a:solidFill>
              <a:ln w="12700">
                <a:solidFill>
                  <a:sysClr val="windowText" lastClr="000000"/>
                </a:solidFill>
                <a:prstDash val="dash"/>
              </a:ln>
              <a:effectLst/>
            </c:spPr>
          </c:marker>
          <c:xVal>
            <c:numRef>
              <c:f>Foglio1!$L$19:$L$23</c:f>
              <c:numCache>
                <c:formatCode>General</c:formatCode>
                <c:ptCount val="5"/>
                <c:pt idx="0">
                  <c:v>0</c:v>
                </c:pt>
                <c:pt idx="1">
                  <c:v>0.5</c:v>
                </c:pt>
                <c:pt idx="2">
                  <c:v>1</c:v>
                </c:pt>
                <c:pt idx="3">
                  <c:v>2</c:v>
                </c:pt>
                <c:pt idx="4">
                  <c:v>3</c:v>
                </c:pt>
              </c:numCache>
            </c:numRef>
          </c:xVal>
          <c:yVal>
            <c:numRef>
              <c:f>Foglio1!$M$19:$M$23</c:f>
              <c:numCache>
                <c:formatCode>0.0</c:formatCode>
                <c:ptCount val="5"/>
                <c:pt idx="0">
                  <c:v>10.775727488447615</c:v>
                </c:pt>
                <c:pt idx="1">
                  <c:v>19.604316546762597</c:v>
                </c:pt>
                <c:pt idx="2">
                  <c:v>25.461421540243194</c:v>
                </c:pt>
                <c:pt idx="3">
                  <c:v>40</c:v>
                </c:pt>
                <c:pt idx="4">
                  <c:v>40.234375</c:v>
                </c:pt>
              </c:numCache>
            </c:numRef>
          </c:yVal>
          <c:smooth val="0"/>
          <c:extLst>
            <c:ext xmlns:c16="http://schemas.microsoft.com/office/drawing/2014/chart" uri="{C3380CC4-5D6E-409C-BE32-E72D297353CC}">
              <c16:uniqueId val="{00000000-68B4-43E6-BA0A-A470E6B7741F}"/>
            </c:ext>
          </c:extLst>
        </c:ser>
        <c:ser>
          <c:idx val="2"/>
          <c:order val="1"/>
          <c:tx>
            <c:v>sTiO2 dark</c:v>
          </c:tx>
          <c:spPr>
            <a:ln w="12700" cap="rnd">
              <a:solidFill>
                <a:sysClr val="windowText" lastClr="000000"/>
              </a:solidFill>
              <a:prstDash val="dash"/>
              <a:round/>
            </a:ln>
            <a:effectLst/>
          </c:spPr>
          <c:marker>
            <c:symbol val="circle"/>
            <c:size val="3"/>
            <c:spPr>
              <a:solidFill>
                <a:sysClr val="window" lastClr="FFFFFF"/>
              </a:solidFill>
              <a:ln w="12700">
                <a:solidFill>
                  <a:sysClr val="windowText" lastClr="000000"/>
                </a:solidFill>
                <a:prstDash val="solid"/>
              </a:ln>
              <a:effectLst/>
            </c:spPr>
          </c:marker>
          <c:xVal>
            <c:numRef>
              <c:f>Foglio1!$L$9:$L$13</c:f>
              <c:numCache>
                <c:formatCode>General</c:formatCode>
                <c:ptCount val="5"/>
                <c:pt idx="0">
                  <c:v>0</c:v>
                </c:pt>
                <c:pt idx="1">
                  <c:v>0.5</c:v>
                </c:pt>
                <c:pt idx="2">
                  <c:v>1</c:v>
                </c:pt>
                <c:pt idx="3">
                  <c:v>2</c:v>
                </c:pt>
                <c:pt idx="4">
                  <c:v>3</c:v>
                </c:pt>
              </c:numCache>
            </c:numRef>
          </c:xVal>
          <c:yVal>
            <c:numRef>
              <c:f>Foglio1!$M$9:$M$13</c:f>
              <c:numCache>
                <c:formatCode>0.0</c:formatCode>
                <c:ptCount val="5"/>
                <c:pt idx="0">
                  <c:v>10.775727488447615</c:v>
                </c:pt>
                <c:pt idx="1">
                  <c:v>19.921875000000007</c:v>
                </c:pt>
                <c:pt idx="2">
                  <c:v>25.641025641025649</c:v>
                </c:pt>
                <c:pt idx="3">
                  <c:v>42.318984058704501</c:v>
                </c:pt>
                <c:pt idx="4">
                  <c:v>40</c:v>
                </c:pt>
              </c:numCache>
            </c:numRef>
          </c:yVal>
          <c:smooth val="0"/>
          <c:extLst>
            <c:ext xmlns:c16="http://schemas.microsoft.com/office/drawing/2014/chart" uri="{C3380CC4-5D6E-409C-BE32-E72D297353CC}">
              <c16:uniqueId val="{00000001-68B4-43E6-BA0A-A470E6B7741F}"/>
            </c:ext>
          </c:extLst>
        </c:ser>
        <c:ser>
          <c:idx val="1"/>
          <c:order val="2"/>
          <c:tx>
            <c:v>P25 light</c:v>
          </c:tx>
          <c:spPr>
            <a:ln w="12700" cap="rnd">
              <a:solidFill>
                <a:sysClr val="windowText" lastClr="000000"/>
              </a:solidFill>
              <a:prstDash val="sysDot"/>
              <a:round/>
            </a:ln>
            <a:effectLst/>
          </c:spPr>
          <c:marker>
            <c:symbol val="circle"/>
            <c:size val="3"/>
            <c:spPr>
              <a:solidFill>
                <a:schemeClr val="tx1"/>
              </a:solidFill>
              <a:ln w="12700">
                <a:solidFill>
                  <a:sysClr val="windowText" lastClr="000000"/>
                </a:solidFill>
                <a:prstDash val="sysDot"/>
              </a:ln>
              <a:effectLst/>
            </c:spPr>
          </c:marker>
          <c:xVal>
            <c:numRef>
              <c:f>Foglio1!$H$19:$H$23</c:f>
              <c:numCache>
                <c:formatCode>General</c:formatCode>
                <c:ptCount val="5"/>
                <c:pt idx="0">
                  <c:v>0</c:v>
                </c:pt>
                <c:pt idx="1">
                  <c:v>0.5</c:v>
                </c:pt>
                <c:pt idx="2">
                  <c:v>1</c:v>
                </c:pt>
                <c:pt idx="3">
                  <c:v>2</c:v>
                </c:pt>
                <c:pt idx="4">
                  <c:v>3</c:v>
                </c:pt>
              </c:numCache>
            </c:numRef>
          </c:xVal>
          <c:yVal>
            <c:numRef>
              <c:f>Foglio1!$I$19:$I$23</c:f>
              <c:numCache>
                <c:formatCode>0.0</c:formatCode>
                <c:ptCount val="5"/>
                <c:pt idx="0">
                  <c:v>7.3967471685880488</c:v>
                </c:pt>
                <c:pt idx="1">
                  <c:v>7.5956121431136419</c:v>
                </c:pt>
                <c:pt idx="2">
                  <c:v>7</c:v>
                </c:pt>
                <c:pt idx="3">
                  <c:v>8.1649831649831626</c:v>
                </c:pt>
                <c:pt idx="4">
                  <c:v>8.8000000000000007</c:v>
                </c:pt>
              </c:numCache>
            </c:numRef>
          </c:yVal>
          <c:smooth val="0"/>
          <c:extLst>
            <c:ext xmlns:c16="http://schemas.microsoft.com/office/drawing/2014/chart" uri="{C3380CC4-5D6E-409C-BE32-E72D297353CC}">
              <c16:uniqueId val="{00000002-68B4-43E6-BA0A-A470E6B7741F}"/>
            </c:ext>
          </c:extLst>
        </c:ser>
        <c:ser>
          <c:idx val="0"/>
          <c:order val="3"/>
          <c:tx>
            <c:v>P25 dark</c:v>
          </c:tx>
          <c:spPr>
            <a:ln w="12700" cap="rnd">
              <a:solidFill>
                <a:schemeClr val="tx1"/>
              </a:solidFill>
              <a:prstDash val="sysDot"/>
              <a:round/>
            </a:ln>
            <a:effectLst/>
          </c:spPr>
          <c:marker>
            <c:symbol val="circle"/>
            <c:size val="3"/>
            <c:spPr>
              <a:noFill/>
              <a:ln w="12700">
                <a:solidFill>
                  <a:schemeClr val="tx1"/>
                </a:solidFill>
                <a:prstDash val="solid"/>
              </a:ln>
              <a:effectLst/>
            </c:spPr>
          </c:marker>
          <c:xVal>
            <c:numRef>
              <c:f>Foglio1!$H$9:$H$14</c:f>
              <c:numCache>
                <c:formatCode>General</c:formatCode>
                <c:ptCount val="6"/>
                <c:pt idx="0">
                  <c:v>0</c:v>
                </c:pt>
                <c:pt idx="1">
                  <c:v>0.5</c:v>
                </c:pt>
                <c:pt idx="2">
                  <c:v>1</c:v>
                </c:pt>
                <c:pt idx="3">
                  <c:v>2</c:v>
                </c:pt>
                <c:pt idx="4">
                  <c:v>2.5</c:v>
                </c:pt>
                <c:pt idx="5">
                  <c:v>3</c:v>
                </c:pt>
              </c:numCache>
            </c:numRef>
          </c:xVal>
          <c:yVal>
            <c:numRef>
              <c:f>Foglio1!$I$9:$I$14</c:f>
              <c:numCache>
                <c:formatCode>0.0</c:formatCode>
                <c:ptCount val="6"/>
                <c:pt idx="0">
                  <c:v>7.3967471685880488</c:v>
                </c:pt>
                <c:pt idx="1">
                  <c:v>5.615900818926292</c:v>
                </c:pt>
                <c:pt idx="2">
                  <c:v>11.131484557472394</c:v>
                </c:pt>
                <c:pt idx="3">
                  <c:v>10</c:v>
                </c:pt>
                <c:pt idx="4">
                  <c:v>9.0272373540855941</c:v>
                </c:pt>
                <c:pt idx="5">
                  <c:v>9.5</c:v>
                </c:pt>
              </c:numCache>
            </c:numRef>
          </c:yVal>
          <c:smooth val="0"/>
          <c:extLst>
            <c:ext xmlns:c16="http://schemas.microsoft.com/office/drawing/2014/chart" uri="{C3380CC4-5D6E-409C-BE32-E72D297353CC}">
              <c16:uniqueId val="{00000003-68B4-43E6-BA0A-A470E6B7741F}"/>
            </c:ext>
          </c:extLst>
        </c:ser>
        <c:dLbls>
          <c:showLegendKey val="0"/>
          <c:showVal val="0"/>
          <c:showCatName val="0"/>
          <c:showSerName val="0"/>
          <c:showPercent val="0"/>
          <c:showBubbleSize val="0"/>
        </c:dLbls>
        <c:axId val="1978120512"/>
        <c:axId val="1978115520"/>
        <c:extLst>
          <c:ext xmlns:c15="http://schemas.microsoft.com/office/drawing/2012/chart" uri="{02D57815-91ED-43cb-92C2-25804820EDAC}">
            <c15:filteredScatterSeries>
              <c15:ser>
                <c:idx val="4"/>
                <c:order val="4"/>
                <c:tx>
                  <c:v>Buio Fe2O3/P25</c:v>
                </c:tx>
                <c:spPr>
                  <a:ln w="19050" cap="rnd">
                    <a:solidFill>
                      <a:schemeClr val="accent5"/>
                    </a:solidFill>
                    <a:prstDash val="dash"/>
                    <a:round/>
                  </a:ln>
                  <a:effectLst/>
                </c:spPr>
                <c:marker>
                  <c:symbol val="circle"/>
                  <c:size val="5"/>
                  <c:spPr>
                    <a:solidFill>
                      <a:schemeClr val="accent5"/>
                    </a:solidFill>
                    <a:ln w="9525">
                      <a:solidFill>
                        <a:schemeClr val="accent5"/>
                      </a:solidFill>
                      <a:prstDash val="dash"/>
                    </a:ln>
                    <a:effectLst/>
                  </c:spPr>
                </c:marker>
                <c:xVal>
                  <c:numRef>
                    <c:extLst>
                      <c:ext uri="{02D57815-91ED-43cb-92C2-25804820EDAC}">
                        <c15:formulaRef>
                          <c15:sqref>Foglio1!$P$9:$P$13</c15:sqref>
                        </c15:formulaRef>
                      </c:ext>
                    </c:extLst>
                    <c:numCache>
                      <c:formatCode>General</c:formatCode>
                      <c:ptCount val="5"/>
                      <c:pt idx="0">
                        <c:v>0</c:v>
                      </c:pt>
                      <c:pt idx="1">
                        <c:v>0.5</c:v>
                      </c:pt>
                      <c:pt idx="2">
                        <c:v>1</c:v>
                      </c:pt>
                      <c:pt idx="3">
                        <c:v>2</c:v>
                      </c:pt>
                      <c:pt idx="4">
                        <c:v>3</c:v>
                      </c:pt>
                    </c:numCache>
                  </c:numRef>
                </c:xVal>
                <c:yVal>
                  <c:numRef>
                    <c:extLst>
                      <c:ext uri="{02D57815-91ED-43cb-92C2-25804820EDAC}">
                        <c15:formulaRef>
                          <c15:sqref>Foglio1!$Q$9:$Q$13</c15:sqref>
                        </c15:formulaRef>
                      </c:ext>
                    </c:extLst>
                    <c:numCache>
                      <c:formatCode>0.0</c:formatCode>
                      <c:ptCount val="5"/>
                      <c:pt idx="0">
                        <c:v>5.8506249662649275</c:v>
                      </c:pt>
                      <c:pt idx="1">
                        <c:v>10.234375000000002</c:v>
                      </c:pt>
                      <c:pt idx="2">
                        <c:v>13.2</c:v>
                      </c:pt>
                      <c:pt idx="3">
                        <c:v>13</c:v>
                      </c:pt>
                      <c:pt idx="4">
                        <c:v>13.713060559304488</c:v>
                      </c:pt>
                    </c:numCache>
                  </c:numRef>
                </c:yVal>
                <c:smooth val="0"/>
                <c:extLst>
                  <c:ext xmlns:c16="http://schemas.microsoft.com/office/drawing/2014/chart" uri="{C3380CC4-5D6E-409C-BE32-E72D297353CC}">
                    <c16:uniqueId val="{00000004-68B4-43E6-BA0A-A470E6B7741F}"/>
                  </c:ext>
                </c:extLst>
              </c15:ser>
            </c15:filteredScatterSeries>
            <c15:filteredScatterSeries>
              <c15:ser>
                <c:idx val="5"/>
                <c:order val="5"/>
                <c:tx>
                  <c:v>Visibile Fe2O3/P25</c:v>
                </c:tx>
                <c:spPr>
                  <a:ln w="19050" cap="rnd">
                    <a:solidFill>
                      <a:schemeClr val="accent6"/>
                    </a:solidFill>
                    <a:prstDash val="dash"/>
                    <a:round/>
                  </a:ln>
                  <a:effectLst/>
                </c:spPr>
                <c:marker>
                  <c:symbol val="circle"/>
                  <c:size val="5"/>
                  <c:spPr>
                    <a:solidFill>
                      <a:schemeClr val="accent6"/>
                    </a:solidFill>
                    <a:ln w="9525">
                      <a:solidFill>
                        <a:schemeClr val="accent6"/>
                      </a:solidFill>
                      <a:prstDash val="dash"/>
                    </a:ln>
                    <a:effectLst/>
                  </c:spPr>
                </c:marker>
                <c:xVal>
                  <c:numRef>
                    <c:extLst xmlns:c15="http://schemas.microsoft.com/office/drawing/2012/chart">
                      <c:ext xmlns:c15="http://schemas.microsoft.com/office/drawing/2012/chart" uri="{02D57815-91ED-43cb-92C2-25804820EDAC}">
                        <c15:formulaRef>
                          <c15:sqref>Foglio1!$P$19:$P$23</c15:sqref>
                        </c15:formulaRef>
                      </c:ext>
                    </c:extLst>
                    <c:numCache>
                      <c:formatCode>General</c:formatCode>
                      <c:ptCount val="5"/>
                      <c:pt idx="0">
                        <c:v>0</c:v>
                      </c:pt>
                      <c:pt idx="1">
                        <c:v>0.5</c:v>
                      </c:pt>
                      <c:pt idx="2">
                        <c:v>1</c:v>
                      </c:pt>
                      <c:pt idx="3">
                        <c:v>2</c:v>
                      </c:pt>
                      <c:pt idx="4">
                        <c:v>3</c:v>
                      </c:pt>
                    </c:numCache>
                  </c:numRef>
                </c:xVal>
                <c:yVal>
                  <c:numRef>
                    <c:extLst xmlns:c15="http://schemas.microsoft.com/office/drawing/2012/chart">
                      <c:ext xmlns:c15="http://schemas.microsoft.com/office/drawing/2012/chart" uri="{02D57815-91ED-43cb-92C2-25804820EDAC}">
                        <c15:formulaRef>
                          <c15:sqref>Foglio1!$Q$19:$Q$23</c15:sqref>
                        </c15:formulaRef>
                      </c:ext>
                    </c:extLst>
                    <c:numCache>
                      <c:formatCode>0.0</c:formatCode>
                      <c:ptCount val="5"/>
                      <c:pt idx="0">
                        <c:v>5.8506249662649275</c:v>
                      </c:pt>
                      <c:pt idx="1">
                        <c:v>9.0170593013809892</c:v>
                      </c:pt>
                      <c:pt idx="2">
                        <c:v>18.919287213877304</c:v>
                      </c:pt>
                      <c:pt idx="3">
                        <c:v>22.041655859782779</c:v>
                      </c:pt>
                      <c:pt idx="4">
                        <c:v>26.538768984812144</c:v>
                      </c:pt>
                    </c:numCache>
                  </c:numRef>
                </c:yVal>
                <c:smooth val="0"/>
                <c:extLst xmlns:c15="http://schemas.microsoft.com/office/drawing/2012/chart">
                  <c:ext xmlns:c16="http://schemas.microsoft.com/office/drawing/2014/chart" uri="{C3380CC4-5D6E-409C-BE32-E72D297353CC}">
                    <c16:uniqueId val="{00000005-68B4-43E6-BA0A-A470E6B7741F}"/>
                  </c:ext>
                </c:extLst>
              </c15:ser>
            </c15:filteredScatterSeries>
          </c:ext>
        </c:extLst>
      </c:scatterChart>
      <c:valAx>
        <c:axId val="1978120512"/>
        <c:scaling>
          <c:orientation val="minMax"/>
          <c:max val="3"/>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it-IT" b="0">
                    <a:solidFill>
                      <a:sysClr val="windowText" lastClr="000000"/>
                    </a:solidFill>
                  </a:rPr>
                  <a:t>Time (h)</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it-IT"/>
            </a:p>
          </c:txPr>
        </c:title>
        <c:numFmt formatCode="General" sourceLinked="1"/>
        <c:majorTickMark val="in"/>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it-IT"/>
          </a:p>
        </c:txPr>
        <c:crossAx val="1978115520"/>
        <c:crosses val="autoZero"/>
        <c:crossBetween val="midCat"/>
        <c:minorUnit val="0.5"/>
      </c:valAx>
      <c:valAx>
        <c:axId val="1978115520"/>
        <c:scaling>
          <c:orientation val="minMax"/>
          <c:max val="7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t-IT" b="0">
                    <a:solidFill>
                      <a:sysClr val="windowText" lastClr="000000"/>
                    </a:solidFill>
                  </a:rPr>
                  <a:t>Removal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t-IT"/>
            </a:p>
          </c:txPr>
        </c:title>
        <c:numFmt formatCode="0" sourceLinked="0"/>
        <c:majorTickMark val="in"/>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it-IT"/>
          </a:p>
        </c:txPr>
        <c:crossAx val="1978120512"/>
        <c:crosses val="autoZero"/>
        <c:crossBetween val="midCat"/>
      </c:valAx>
      <c:spPr>
        <a:solidFill>
          <a:sysClr val="window" lastClr="FFFFFF"/>
        </a:solidFill>
        <a:ln>
          <a:solidFill>
            <a:sysClr val="windowText" lastClr="000000"/>
          </a:solidFill>
        </a:ln>
        <a:effectLst/>
      </c:spPr>
    </c:plotArea>
    <c:legend>
      <c:legendPos val="r"/>
      <c:layout>
        <c:manualLayout>
          <c:xMode val="edge"/>
          <c:yMode val="edge"/>
          <c:x val="8.1503605152804179E-2"/>
          <c:y val="0.10676170218059237"/>
          <c:w val="0.31100803491517581"/>
          <c:h val="0.23921931559502926"/>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it-I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01287286066973"/>
          <c:y val="4.5185579436765239E-2"/>
          <c:w val="0.63204632559848362"/>
          <c:h val="0.75864028427858043"/>
        </c:manualLayout>
      </c:layout>
      <c:scatterChart>
        <c:scatterStyle val="lineMarker"/>
        <c:varyColors val="0"/>
        <c:ser>
          <c:idx val="8"/>
          <c:order val="8"/>
          <c:tx>
            <c:v>1%Fe-TiO2 light</c:v>
          </c:tx>
          <c:spPr>
            <a:ln w="12700" cap="rnd">
              <a:solidFill>
                <a:sysClr val="windowText" lastClr="000000"/>
              </a:solidFill>
              <a:prstDash val="dash"/>
              <a:round/>
            </a:ln>
            <a:effectLst/>
          </c:spPr>
          <c:marker>
            <c:symbol val="circle"/>
            <c:size val="3"/>
            <c:spPr>
              <a:solidFill>
                <a:schemeClr val="tx1"/>
              </a:solidFill>
              <a:ln w="12700">
                <a:solidFill>
                  <a:sysClr val="windowText" lastClr="000000"/>
                </a:solidFill>
                <a:prstDash val="dash"/>
              </a:ln>
              <a:effectLst/>
            </c:spPr>
          </c:marker>
          <c:xVal>
            <c:numRef>
              <c:f>Foglio1!$AM$20:$AM$25</c:f>
              <c:numCache>
                <c:formatCode>General</c:formatCode>
                <c:ptCount val="6"/>
                <c:pt idx="0">
                  <c:v>0</c:v>
                </c:pt>
                <c:pt idx="1">
                  <c:v>0.5</c:v>
                </c:pt>
                <c:pt idx="2">
                  <c:v>1</c:v>
                </c:pt>
                <c:pt idx="3">
                  <c:v>2</c:v>
                </c:pt>
                <c:pt idx="4">
                  <c:v>2.5</c:v>
                </c:pt>
                <c:pt idx="5">
                  <c:v>3</c:v>
                </c:pt>
              </c:numCache>
            </c:numRef>
          </c:xVal>
          <c:yVal>
            <c:numRef>
              <c:f>Foglio1!$AN$20:$AN$25</c:f>
              <c:numCache>
                <c:formatCode>0.0</c:formatCode>
                <c:ptCount val="6"/>
                <c:pt idx="0" formatCode="General">
                  <c:v>17</c:v>
                </c:pt>
                <c:pt idx="1">
                  <c:v>28.81578947368422</c:v>
                </c:pt>
                <c:pt idx="2">
                  <c:v>41.586497890295362</c:v>
                </c:pt>
                <c:pt idx="3">
                  <c:v>52.514718250630793</c:v>
                </c:pt>
                <c:pt idx="4">
                  <c:v>54.1</c:v>
                </c:pt>
                <c:pt idx="5">
                  <c:v>56.699999999999996</c:v>
                </c:pt>
              </c:numCache>
            </c:numRef>
          </c:yVal>
          <c:smooth val="0"/>
          <c:extLst>
            <c:ext xmlns:c16="http://schemas.microsoft.com/office/drawing/2014/chart" uri="{C3380CC4-5D6E-409C-BE32-E72D297353CC}">
              <c16:uniqueId val="{00000000-DEB4-4C88-AF28-75B46450558B}"/>
            </c:ext>
          </c:extLst>
        </c:ser>
        <c:ser>
          <c:idx val="9"/>
          <c:order val="9"/>
          <c:tx>
            <c:v>1%Fe-TiO2 dark</c:v>
          </c:tx>
          <c:spPr>
            <a:ln w="12700" cap="rnd">
              <a:solidFill>
                <a:sysClr val="windowText" lastClr="000000"/>
              </a:solidFill>
              <a:prstDash val="dash"/>
              <a:round/>
            </a:ln>
            <a:effectLst/>
          </c:spPr>
          <c:marker>
            <c:symbol val="circle"/>
            <c:size val="3"/>
            <c:spPr>
              <a:solidFill>
                <a:sysClr val="window" lastClr="FFFFFF"/>
              </a:solidFill>
              <a:ln w="12700">
                <a:solidFill>
                  <a:sysClr val="windowText" lastClr="000000"/>
                </a:solidFill>
                <a:prstDash val="solid"/>
              </a:ln>
              <a:effectLst/>
            </c:spPr>
          </c:marker>
          <c:xVal>
            <c:numRef>
              <c:f>Foglio1!$AN$10:$AN$14</c:f>
              <c:numCache>
                <c:formatCode>0.00</c:formatCode>
                <c:ptCount val="5"/>
                <c:pt idx="0">
                  <c:v>0</c:v>
                </c:pt>
                <c:pt idx="1">
                  <c:v>0.5</c:v>
                </c:pt>
                <c:pt idx="2">
                  <c:v>1</c:v>
                </c:pt>
                <c:pt idx="3">
                  <c:v>2</c:v>
                </c:pt>
                <c:pt idx="4">
                  <c:v>3</c:v>
                </c:pt>
              </c:numCache>
            </c:numRef>
          </c:xVal>
          <c:yVal>
            <c:numRef>
              <c:f>Foglio1!$AO$10:$AO$14</c:f>
              <c:numCache>
                <c:formatCode>0.00</c:formatCode>
                <c:ptCount val="5"/>
                <c:pt idx="0">
                  <c:v>17</c:v>
                </c:pt>
                <c:pt idx="1">
                  <c:v>19.5</c:v>
                </c:pt>
                <c:pt idx="2">
                  <c:v>23.9</c:v>
                </c:pt>
                <c:pt idx="3">
                  <c:v>29.8</c:v>
                </c:pt>
                <c:pt idx="4">
                  <c:v>32</c:v>
                </c:pt>
              </c:numCache>
            </c:numRef>
          </c:yVal>
          <c:smooth val="0"/>
          <c:extLst>
            <c:ext xmlns:c16="http://schemas.microsoft.com/office/drawing/2014/chart" uri="{C3380CC4-5D6E-409C-BE32-E72D297353CC}">
              <c16:uniqueId val="{00000001-DEB4-4C88-AF28-75B46450558B}"/>
            </c:ext>
          </c:extLst>
        </c:ser>
        <c:ser>
          <c:idx val="10"/>
          <c:order val="10"/>
          <c:tx>
            <c:v>1%Fe-P25 light</c:v>
          </c:tx>
          <c:spPr>
            <a:ln w="12700" cap="rnd">
              <a:solidFill>
                <a:schemeClr val="tx1"/>
              </a:solidFill>
              <a:prstDash val="sysDot"/>
              <a:round/>
            </a:ln>
            <a:effectLst/>
          </c:spPr>
          <c:marker>
            <c:symbol val="circle"/>
            <c:size val="3"/>
            <c:spPr>
              <a:solidFill>
                <a:schemeClr val="tx1"/>
              </a:solidFill>
              <a:ln w="12700">
                <a:solidFill>
                  <a:schemeClr val="tx1"/>
                </a:solidFill>
                <a:prstDash val="sysDot"/>
              </a:ln>
              <a:effectLst/>
            </c:spPr>
          </c:marker>
          <c:xVal>
            <c:numRef>
              <c:f>Foglio1!$AI$20:$AI$26</c:f>
              <c:numCache>
                <c:formatCode>General</c:formatCode>
                <c:ptCount val="7"/>
                <c:pt idx="0">
                  <c:v>0</c:v>
                </c:pt>
                <c:pt idx="1">
                  <c:v>0.5</c:v>
                </c:pt>
                <c:pt idx="2">
                  <c:v>1</c:v>
                </c:pt>
                <c:pt idx="3">
                  <c:v>1.5</c:v>
                </c:pt>
                <c:pt idx="4">
                  <c:v>2</c:v>
                </c:pt>
                <c:pt idx="5">
                  <c:v>2.5</c:v>
                </c:pt>
                <c:pt idx="6">
                  <c:v>3</c:v>
                </c:pt>
              </c:numCache>
            </c:numRef>
          </c:xVal>
          <c:yVal>
            <c:numRef>
              <c:f>Foglio1!$AJ$20:$AJ$26</c:f>
              <c:numCache>
                <c:formatCode>General</c:formatCode>
                <c:ptCount val="7"/>
                <c:pt idx="0">
                  <c:v>10.4</c:v>
                </c:pt>
                <c:pt idx="1">
                  <c:v>11.1</c:v>
                </c:pt>
                <c:pt idx="2">
                  <c:v>13.9</c:v>
                </c:pt>
                <c:pt idx="3">
                  <c:v>26.9</c:v>
                </c:pt>
                <c:pt idx="4">
                  <c:v>31</c:v>
                </c:pt>
                <c:pt idx="5">
                  <c:v>42.8</c:v>
                </c:pt>
                <c:pt idx="6">
                  <c:v>45.5</c:v>
                </c:pt>
              </c:numCache>
            </c:numRef>
          </c:yVal>
          <c:smooth val="0"/>
          <c:extLst>
            <c:ext xmlns:c16="http://schemas.microsoft.com/office/drawing/2014/chart" uri="{C3380CC4-5D6E-409C-BE32-E72D297353CC}">
              <c16:uniqueId val="{00000002-DEB4-4C88-AF28-75B46450558B}"/>
            </c:ext>
          </c:extLst>
        </c:ser>
        <c:ser>
          <c:idx val="11"/>
          <c:order val="11"/>
          <c:tx>
            <c:v>1%Fe-P25 dark</c:v>
          </c:tx>
          <c:spPr>
            <a:ln w="12700" cap="rnd">
              <a:solidFill>
                <a:schemeClr val="tx1"/>
              </a:solidFill>
              <a:prstDash val="sysDot"/>
              <a:round/>
            </a:ln>
            <a:effectLst/>
          </c:spPr>
          <c:marker>
            <c:symbol val="circle"/>
            <c:size val="3"/>
            <c:spPr>
              <a:solidFill>
                <a:schemeClr val="bg1"/>
              </a:solidFill>
              <a:ln w="12700">
                <a:solidFill>
                  <a:schemeClr val="tx1"/>
                </a:solidFill>
                <a:prstDash val="solid"/>
              </a:ln>
              <a:effectLst/>
            </c:spPr>
          </c:marker>
          <c:xVal>
            <c:numRef>
              <c:f>Foglio1!$AI$11:$AI$16</c:f>
              <c:numCache>
                <c:formatCode>General</c:formatCode>
                <c:ptCount val="6"/>
                <c:pt idx="0">
                  <c:v>0</c:v>
                </c:pt>
                <c:pt idx="1">
                  <c:v>0.5</c:v>
                </c:pt>
                <c:pt idx="2">
                  <c:v>1</c:v>
                </c:pt>
                <c:pt idx="3">
                  <c:v>1.5</c:v>
                </c:pt>
                <c:pt idx="4">
                  <c:v>2</c:v>
                </c:pt>
                <c:pt idx="5">
                  <c:v>3</c:v>
                </c:pt>
              </c:numCache>
            </c:numRef>
          </c:xVal>
          <c:yVal>
            <c:numRef>
              <c:f>Foglio1!$AJ$11:$AJ$16</c:f>
              <c:numCache>
                <c:formatCode>General</c:formatCode>
                <c:ptCount val="6"/>
                <c:pt idx="0">
                  <c:v>10.4</c:v>
                </c:pt>
                <c:pt idx="1">
                  <c:v>8</c:v>
                </c:pt>
                <c:pt idx="2">
                  <c:v>12</c:v>
                </c:pt>
                <c:pt idx="3">
                  <c:v>13</c:v>
                </c:pt>
                <c:pt idx="4">
                  <c:v>10.8</c:v>
                </c:pt>
                <c:pt idx="5">
                  <c:v>12</c:v>
                </c:pt>
              </c:numCache>
            </c:numRef>
          </c:yVal>
          <c:smooth val="0"/>
          <c:extLst>
            <c:ext xmlns:c16="http://schemas.microsoft.com/office/drawing/2014/chart" uri="{C3380CC4-5D6E-409C-BE32-E72D297353CC}">
              <c16:uniqueId val="{00000003-DEB4-4C88-AF28-75B46450558B}"/>
            </c:ext>
          </c:extLst>
        </c:ser>
        <c:dLbls>
          <c:showLegendKey val="0"/>
          <c:showVal val="0"/>
          <c:showCatName val="0"/>
          <c:showSerName val="0"/>
          <c:showPercent val="0"/>
          <c:showBubbleSize val="0"/>
        </c:dLbls>
        <c:axId val="1978120512"/>
        <c:axId val="1978115520"/>
        <c:extLst>
          <c:ext xmlns:c15="http://schemas.microsoft.com/office/drawing/2012/chart" uri="{02D57815-91ED-43cb-92C2-25804820EDAC}">
            <c15:filteredScatterSeries>
              <c15:ser>
                <c:idx val="0"/>
                <c:order val="0"/>
                <c:tx>
                  <c:v>P25 dark</c:v>
                </c:tx>
                <c:spPr>
                  <a:ln w="12700" cap="rnd">
                    <a:solidFill>
                      <a:schemeClr val="tx1"/>
                    </a:solidFill>
                    <a:prstDash val="dash"/>
                    <a:round/>
                  </a:ln>
                  <a:effectLst/>
                </c:spPr>
                <c:marker>
                  <c:symbol val="triangle"/>
                  <c:size val="5"/>
                  <c:spPr>
                    <a:solidFill>
                      <a:schemeClr val="tx1"/>
                    </a:solidFill>
                    <a:ln w="12700">
                      <a:solidFill>
                        <a:schemeClr val="tx1"/>
                      </a:solidFill>
                      <a:prstDash val="dash"/>
                    </a:ln>
                    <a:effectLst/>
                  </c:spPr>
                </c:marker>
                <c:xVal>
                  <c:numRef>
                    <c:extLst>
                      <c:ext uri="{02D57815-91ED-43cb-92C2-25804820EDAC}">
                        <c15:formulaRef>
                          <c15:sqref>Foglio1!$H$9:$H$14</c15:sqref>
                        </c15:formulaRef>
                      </c:ext>
                    </c:extLst>
                    <c:numCache>
                      <c:formatCode>General</c:formatCode>
                      <c:ptCount val="6"/>
                      <c:pt idx="0">
                        <c:v>0</c:v>
                      </c:pt>
                      <c:pt idx="1">
                        <c:v>0.5</c:v>
                      </c:pt>
                      <c:pt idx="2">
                        <c:v>1</c:v>
                      </c:pt>
                      <c:pt idx="3">
                        <c:v>2</c:v>
                      </c:pt>
                      <c:pt idx="4">
                        <c:v>2.5</c:v>
                      </c:pt>
                      <c:pt idx="5">
                        <c:v>3</c:v>
                      </c:pt>
                    </c:numCache>
                  </c:numRef>
                </c:xVal>
                <c:yVal>
                  <c:numRef>
                    <c:extLst>
                      <c:ext uri="{02D57815-91ED-43cb-92C2-25804820EDAC}">
                        <c15:formulaRef>
                          <c15:sqref>Foglio1!$I$9:$I$14</c15:sqref>
                        </c15:formulaRef>
                      </c:ext>
                    </c:extLst>
                    <c:numCache>
                      <c:formatCode>0.0</c:formatCode>
                      <c:ptCount val="6"/>
                      <c:pt idx="0">
                        <c:v>7.3967471685880488</c:v>
                      </c:pt>
                      <c:pt idx="1">
                        <c:v>5.615900818926292</c:v>
                      </c:pt>
                      <c:pt idx="2">
                        <c:v>11.131484557472394</c:v>
                      </c:pt>
                      <c:pt idx="3">
                        <c:v>10</c:v>
                      </c:pt>
                      <c:pt idx="4">
                        <c:v>9.0272373540855941</c:v>
                      </c:pt>
                      <c:pt idx="5">
                        <c:v>9.5</c:v>
                      </c:pt>
                    </c:numCache>
                  </c:numRef>
                </c:yVal>
                <c:smooth val="0"/>
                <c:extLst>
                  <c:ext xmlns:c16="http://schemas.microsoft.com/office/drawing/2014/chart" uri="{C3380CC4-5D6E-409C-BE32-E72D297353CC}">
                    <c16:uniqueId val="{00000004-DEB4-4C88-AF28-75B46450558B}"/>
                  </c:ext>
                </c:extLst>
              </c15:ser>
            </c15:filteredScatterSeries>
            <c15:filteredScatterSeries>
              <c15:ser>
                <c:idx val="1"/>
                <c:order val="1"/>
                <c:tx>
                  <c:v>P25 with light</c:v>
                </c:tx>
                <c:spPr>
                  <a:ln w="12700" cap="rnd">
                    <a:solidFill>
                      <a:sysClr val="windowText" lastClr="000000"/>
                    </a:solidFill>
                    <a:prstDash val="sysDot"/>
                    <a:round/>
                  </a:ln>
                  <a:effectLst/>
                </c:spPr>
                <c:marker>
                  <c:symbol val="diamond"/>
                  <c:size val="5"/>
                  <c:spPr>
                    <a:solidFill>
                      <a:schemeClr val="tx1"/>
                    </a:solidFill>
                    <a:ln w="12700">
                      <a:solidFill>
                        <a:sysClr val="windowText" lastClr="000000"/>
                      </a:solidFill>
                      <a:prstDash val="sysDot"/>
                    </a:ln>
                    <a:effectLst/>
                  </c:spPr>
                </c:marker>
                <c:xVal>
                  <c:numRef>
                    <c:extLst xmlns:c15="http://schemas.microsoft.com/office/drawing/2012/chart">
                      <c:ext xmlns:c15="http://schemas.microsoft.com/office/drawing/2012/chart" uri="{02D57815-91ED-43cb-92C2-25804820EDAC}">
                        <c15:formulaRef>
                          <c15:sqref>Foglio1!$H$19:$H$23</c15:sqref>
                        </c15:formulaRef>
                      </c:ext>
                    </c:extLst>
                    <c:numCache>
                      <c:formatCode>General</c:formatCode>
                      <c:ptCount val="5"/>
                      <c:pt idx="0">
                        <c:v>0</c:v>
                      </c:pt>
                      <c:pt idx="1">
                        <c:v>0.5</c:v>
                      </c:pt>
                      <c:pt idx="2">
                        <c:v>1</c:v>
                      </c:pt>
                      <c:pt idx="3">
                        <c:v>2</c:v>
                      </c:pt>
                      <c:pt idx="4">
                        <c:v>3</c:v>
                      </c:pt>
                    </c:numCache>
                  </c:numRef>
                </c:xVal>
                <c:yVal>
                  <c:numRef>
                    <c:extLst xmlns:c15="http://schemas.microsoft.com/office/drawing/2012/chart">
                      <c:ext xmlns:c15="http://schemas.microsoft.com/office/drawing/2012/chart" uri="{02D57815-91ED-43cb-92C2-25804820EDAC}">
                        <c15:formulaRef>
                          <c15:sqref>Foglio1!$I$19:$I$23</c15:sqref>
                        </c15:formulaRef>
                      </c:ext>
                    </c:extLst>
                    <c:numCache>
                      <c:formatCode>0.0</c:formatCode>
                      <c:ptCount val="5"/>
                      <c:pt idx="0">
                        <c:v>7.3967471685880488</c:v>
                      </c:pt>
                      <c:pt idx="1">
                        <c:v>7.5956121431136419</c:v>
                      </c:pt>
                      <c:pt idx="2">
                        <c:v>7</c:v>
                      </c:pt>
                      <c:pt idx="3">
                        <c:v>8.1649831649831626</c:v>
                      </c:pt>
                      <c:pt idx="4">
                        <c:v>8.8000000000000007</c:v>
                      </c:pt>
                    </c:numCache>
                  </c:numRef>
                </c:yVal>
                <c:smooth val="0"/>
                <c:extLst xmlns:c15="http://schemas.microsoft.com/office/drawing/2012/chart">
                  <c:ext xmlns:c16="http://schemas.microsoft.com/office/drawing/2014/chart" uri="{C3380CC4-5D6E-409C-BE32-E72D297353CC}">
                    <c16:uniqueId val="{00000005-DEB4-4C88-AF28-75B46450558B}"/>
                  </c:ext>
                </c:extLst>
              </c15:ser>
            </c15:filteredScatterSeries>
            <c15:filteredScatterSeries>
              <c15:ser>
                <c:idx val="2"/>
                <c:order val="2"/>
                <c:tx>
                  <c:v>sTiO2 dark</c:v>
                </c:tx>
                <c:spPr>
                  <a:ln w="12700" cap="rnd">
                    <a:solidFill>
                      <a:sysClr val="windowText" lastClr="000000"/>
                    </a:solidFill>
                    <a:prstDash val="dash"/>
                    <a:round/>
                  </a:ln>
                  <a:effectLst/>
                </c:spPr>
                <c:marker>
                  <c:symbol val="circle"/>
                  <c:size val="5"/>
                  <c:spPr>
                    <a:solidFill>
                      <a:schemeClr val="tx1"/>
                    </a:solidFill>
                    <a:ln w="12700">
                      <a:solidFill>
                        <a:sysClr val="windowText" lastClr="000000"/>
                      </a:solidFill>
                      <a:prstDash val="dash"/>
                    </a:ln>
                    <a:effectLst/>
                  </c:spPr>
                </c:marker>
                <c:xVal>
                  <c:numRef>
                    <c:extLst xmlns:c15="http://schemas.microsoft.com/office/drawing/2012/chart">
                      <c:ext xmlns:c15="http://schemas.microsoft.com/office/drawing/2012/chart" uri="{02D57815-91ED-43cb-92C2-25804820EDAC}">
                        <c15:formulaRef>
                          <c15:sqref>Foglio1!$L$9:$L$13</c15:sqref>
                        </c15:formulaRef>
                      </c:ext>
                    </c:extLst>
                    <c:numCache>
                      <c:formatCode>General</c:formatCode>
                      <c:ptCount val="5"/>
                      <c:pt idx="0">
                        <c:v>0</c:v>
                      </c:pt>
                      <c:pt idx="1">
                        <c:v>0.5</c:v>
                      </c:pt>
                      <c:pt idx="2">
                        <c:v>1</c:v>
                      </c:pt>
                      <c:pt idx="3">
                        <c:v>2</c:v>
                      </c:pt>
                      <c:pt idx="4">
                        <c:v>3</c:v>
                      </c:pt>
                    </c:numCache>
                  </c:numRef>
                </c:xVal>
                <c:yVal>
                  <c:numRef>
                    <c:extLst xmlns:c15="http://schemas.microsoft.com/office/drawing/2012/chart">
                      <c:ext xmlns:c15="http://schemas.microsoft.com/office/drawing/2012/chart" uri="{02D57815-91ED-43cb-92C2-25804820EDAC}">
                        <c15:formulaRef>
                          <c15:sqref>Foglio1!$M$9:$M$13</c15:sqref>
                        </c15:formulaRef>
                      </c:ext>
                    </c:extLst>
                    <c:numCache>
                      <c:formatCode>0.0</c:formatCode>
                      <c:ptCount val="5"/>
                      <c:pt idx="0">
                        <c:v>10.775727488447615</c:v>
                      </c:pt>
                      <c:pt idx="1">
                        <c:v>19.921875000000007</c:v>
                      </c:pt>
                      <c:pt idx="2">
                        <c:v>25.641025641025649</c:v>
                      </c:pt>
                      <c:pt idx="3">
                        <c:v>45.318984058704459</c:v>
                      </c:pt>
                      <c:pt idx="4">
                        <c:v>50</c:v>
                      </c:pt>
                    </c:numCache>
                  </c:numRef>
                </c:yVal>
                <c:smooth val="0"/>
                <c:extLst xmlns:c15="http://schemas.microsoft.com/office/drawing/2012/chart">
                  <c:ext xmlns:c16="http://schemas.microsoft.com/office/drawing/2014/chart" uri="{C3380CC4-5D6E-409C-BE32-E72D297353CC}">
                    <c16:uniqueId val="{00000006-DEB4-4C88-AF28-75B46450558B}"/>
                  </c:ext>
                </c:extLst>
              </c15:ser>
            </c15:filteredScatterSeries>
            <c15:filteredScatterSeries>
              <c15:ser>
                <c:idx val="3"/>
                <c:order val="3"/>
                <c:tx>
                  <c:v>sTiO2 with light</c:v>
                </c:tx>
                <c:spPr>
                  <a:ln w="12700" cap="rnd">
                    <a:solidFill>
                      <a:sysClr val="windowText" lastClr="000000"/>
                    </a:solidFill>
                    <a:prstDash val="sysDot"/>
                    <a:round/>
                  </a:ln>
                  <a:effectLst/>
                </c:spPr>
                <c:marker>
                  <c:symbol val="circle"/>
                  <c:size val="5"/>
                  <c:spPr>
                    <a:solidFill>
                      <a:sysClr val="window" lastClr="FFFFFF"/>
                    </a:solidFill>
                    <a:ln w="12700">
                      <a:solidFill>
                        <a:sysClr val="windowText" lastClr="000000"/>
                      </a:solidFill>
                      <a:prstDash val="sysDot"/>
                    </a:ln>
                    <a:effectLst/>
                  </c:spPr>
                </c:marker>
                <c:xVal>
                  <c:numRef>
                    <c:extLst xmlns:c15="http://schemas.microsoft.com/office/drawing/2012/chart">
                      <c:ext xmlns:c15="http://schemas.microsoft.com/office/drawing/2012/chart" uri="{02D57815-91ED-43cb-92C2-25804820EDAC}">
                        <c15:formulaRef>
                          <c15:sqref>Foglio1!$L$19:$L$23</c15:sqref>
                        </c15:formulaRef>
                      </c:ext>
                    </c:extLst>
                    <c:numCache>
                      <c:formatCode>General</c:formatCode>
                      <c:ptCount val="5"/>
                      <c:pt idx="0">
                        <c:v>0</c:v>
                      </c:pt>
                      <c:pt idx="1">
                        <c:v>0.5</c:v>
                      </c:pt>
                      <c:pt idx="2">
                        <c:v>1</c:v>
                      </c:pt>
                      <c:pt idx="3">
                        <c:v>2</c:v>
                      </c:pt>
                      <c:pt idx="4">
                        <c:v>3</c:v>
                      </c:pt>
                    </c:numCache>
                  </c:numRef>
                </c:xVal>
                <c:yVal>
                  <c:numRef>
                    <c:extLst xmlns:c15="http://schemas.microsoft.com/office/drawing/2012/chart">
                      <c:ext xmlns:c15="http://schemas.microsoft.com/office/drawing/2012/chart" uri="{02D57815-91ED-43cb-92C2-25804820EDAC}">
                        <c15:formulaRef>
                          <c15:sqref>Foglio1!$M$19:$M$23</c15:sqref>
                        </c15:formulaRef>
                      </c:ext>
                    </c:extLst>
                    <c:numCache>
                      <c:formatCode>0.0</c:formatCode>
                      <c:ptCount val="5"/>
                      <c:pt idx="0">
                        <c:v>10.775727488447615</c:v>
                      </c:pt>
                      <c:pt idx="1">
                        <c:v>19.604316546762597</c:v>
                      </c:pt>
                      <c:pt idx="2">
                        <c:v>25.461421540243194</c:v>
                      </c:pt>
                      <c:pt idx="3">
                        <c:v>40</c:v>
                      </c:pt>
                      <c:pt idx="4">
                        <c:v>50.234375</c:v>
                      </c:pt>
                    </c:numCache>
                  </c:numRef>
                </c:yVal>
                <c:smooth val="0"/>
                <c:extLst xmlns:c15="http://schemas.microsoft.com/office/drawing/2012/chart">
                  <c:ext xmlns:c16="http://schemas.microsoft.com/office/drawing/2014/chart" uri="{C3380CC4-5D6E-409C-BE32-E72D297353CC}">
                    <c16:uniqueId val="{00000007-DEB4-4C88-AF28-75B46450558B}"/>
                  </c:ext>
                </c:extLst>
              </c15:ser>
            </c15:filteredScatterSeries>
            <c15:filteredScatterSeries>
              <c15:ser>
                <c:idx val="6"/>
                <c:order val="4"/>
                <c:tx>
                  <c:v>Fe2O3/TiO2 light</c:v>
                </c:tx>
                <c:spPr>
                  <a:ln w="12700" cap="rnd">
                    <a:solidFill>
                      <a:sysClr val="windowText" lastClr="000000"/>
                    </a:solidFill>
                    <a:prstDash val="sysDot"/>
                    <a:round/>
                  </a:ln>
                  <a:effectLst/>
                </c:spPr>
                <c:marker>
                  <c:symbol val="circle"/>
                  <c:size val="5"/>
                  <c:spPr>
                    <a:solidFill>
                      <a:schemeClr val="tx1"/>
                    </a:solidFill>
                    <a:ln w="12700">
                      <a:solidFill>
                        <a:sysClr val="windowText" lastClr="000000"/>
                      </a:solidFill>
                      <a:prstDash val="sysDot"/>
                    </a:ln>
                    <a:effectLst/>
                  </c:spPr>
                </c:marker>
                <c:xVal>
                  <c:numRef>
                    <c:extLst xmlns:c15="http://schemas.microsoft.com/office/drawing/2012/chart">
                      <c:ext xmlns:c15="http://schemas.microsoft.com/office/drawing/2012/chart" uri="{02D57815-91ED-43cb-92C2-25804820EDAC}">
                        <c15:formulaRef>
                          <c15:sqref>Foglio1!$AE$20:$AE$25</c15:sqref>
                        </c15:formulaRef>
                      </c:ext>
                    </c:extLst>
                    <c:numCache>
                      <c:formatCode>General</c:formatCode>
                      <c:ptCount val="6"/>
                      <c:pt idx="0">
                        <c:v>0</c:v>
                      </c:pt>
                      <c:pt idx="1">
                        <c:v>0.5</c:v>
                      </c:pt>
                      <c:pt idx="2">
                        <c:v>1</c:v>
                      </c:pt>
                      <c:pt idx="3">
                        <c:v>1.5</c:v>
                      </c:pt>
                      <c:pt idx="4">
                        <c:v>2</c:v>
                      </c:pt>
                      <c:pt idx="5">
                        <c:v>3</c:v>
                      </c:pt>
                    </c:numCache>
                  </c:numRef>
                </c:xVal>
                <c:yVal>
                  <c:numRef>
                    <c:extLst xmlns:c15="http://schemas.microsoft.com/office/drawing/2012/chart">
                      <c:ext xmlns:c15="http://schemas.microsoft.com/office/drawing/2012/chart" uri="{02D57815-91ED-43cb-92C2-25804820EDAC}">
                        <c15:formulaRef>
                          <c15:sqref>Foglio1!$AF$20:$AF$25</c15:sqref>
                        </c15:formulaRef>
                      </c:ext>
                    </c:extLst>
                    <c:numCache>
                      <c:formatCode>0.0</c:formatCode>
                      <c:ptCount val="6"/>
                      <c:pt idx="0">
                        <c:v>25</c:v>
                      </c:pt>
                      <c:pt idx="1">
                        <c:v>34</c:v>
                      </c:pt>
                      <c:pt idx="2">
                        <c:v>42</c:v>
                      </c:pt>
                      <c:pt idx="3">
                        <c:v>46</c:v>
                      </c:pt>
                      <c:pt idx="4">
                        <c:v>51</c:v>
                      </c:pt>
                      <c:pt idx="5">
                        <c:v>56.454121306376358</c:v>
                      </c:pt>
                    </c:numCache>
                  </c:numRef>
                </c:yVal>
                <c:smooth val="0"/>
                <c:extLst xmlns:c15="http://schemas.microsoft.com/office/drawing/2012/chart">
                  <c:ext xmlns:c16="http://schemas.microsoft.com/office/drawing/2014/chart" uri="{C3380CC4-5D6E-409C-BE32-E72D297353CC}">
                    <c16:uniqueId val="{00000008-DEB4-4C88-AF28-75B46450558B}"/>
                  </c:ext>
                </c:extLst>
              </c15:ser>
            </c15:filteredScatterSeries>
            <c15:filteredScatterSeries>
              <c15:ser>
                <c:idx val="7"/>
                <c:order val="5"/>
                <c:tx>
                  <c:v>Fe2O3/TiO2 dark</c:v>
                </c:tx>
                <c:spPr>
                  <a:ln w="19050" cap="rnd">
                    <a:solidFill>
                      <a:sysClr val="windowText" lastClr="000000"/>
                    </a:solidFill>
                    <a:prstDash val="sysDot"/>
                    <a:round/>
                  </a:ln>
                  <a:effectLst/>
                </c:spPr>
                <c:marker>
                  <c:symbol val="diamond"/>
                  <c:size val="5"/>
                  <c:spPr>
                    <a:solidFill>
                      <a:schemeClr val="bg1"/>
                    </a:solidFill>
                    <a:ln w="9525">
                      <a:solidFill>
                        <a:sysClr val="windowText" lastClr="000000"/>
                      </a:solidFill>
                      <a:prstDash val="sysDot"/>
                    </a:ln>
                    <a:effectLst/>
                  </c:spPr>
                </c:marker>
                <c:xVal>
                  <c:numRef>
                    <c:extLst xmlns:c15="http://schemas.microsoft.com/office/drawing/2012/chart">
                      <c:ext xmlns:c15="http://schemas.microsoft.com/office/drawing/2012/chart" uri="{02D57815-91ED-43cb-92C2-25804820EDAC}">
                        <c15:formulaRef>
                          <c15:sqref>Foglio1!$AE$10:$AE$14</c15:sqref>
                        </c15:formulaRef>
                      </c:ext>
                    </c:extLst>
                    <c:numCache>
                      <c:formatCode>General</c:formatCode>
                      <c:ptCount val="5"/>
                      <c:pt idx="0">
                        <c:v>0</c:v>
                      </c:pt>
                      <c:pt idx="1">
                        <c:v>0.5</c:v>
                      </c:pt>
                      <c:pt idx="2">
                        <c:v>1</c:v>
                      </c:pt>
                      <c:pt idx="3">
                        <c:v>2</c:v>
                      </c:pt>
                      <c:pt idx="4">
                        <c:v>3</c:v>
                      </c:pt>
                    </c:numCache>
                  </c:numRef>
                </c:xVal>
                <c:yVal>
                  <c:numRef>
                    <c:extLst xmlns:c15="http://schemas.microsoft.com/office/drawing/2012/chart">
                      <c:ext xmlns:c15="http://schemas.microsoft.com/office/drawing/2012/chart" uri="{02D57815-91ED-43cb-92C2-25804820EDAC}">
                        <c15:formulaRef>
                          <c15:sqref>Foglio1!$AF$10:$AF$14</c15:sqref>
                        </c15:formulaRef>
                      </c:ext>
                    </c:extLst>
                    <c:numCache>
                      <c:formatCode>0.0</c:formatCode>
                      <c:ptCount val="5"/>
                      <c:pt idx="0">
                        <c:v>25</c:v>
                      </c:pt>
                      <c:pt idx="1">
                        <c:v>24</c:v>
                      </c:pt>
                      <c:pt idx="2">
                        <c:v>26</c:v>
                      </c:pt>
                      <c:pt idx="3">
                        <c:v>26.5</c:v>
                      </c:pt>
                      <c:pt idx="4">
                        <c:v>26.2</c:v>
                      </c:pt>
                    </c:numCache>
                  </c:numRef>
                </c:yVal>
                <c:smooth val="0"/>
                <c:extLst xmlns:c15="http://schemas.microsoft.com/office/drawing/2012/chart">
                  <c:ext xmlns:c16="http://schemas.microsoft.com/office/drawing/2014/chart" uri="{C3380CC4-5D6E-409C-BE32-E72D297353CC}">
                    <c16:uniqueId val="{00000009-DEB4-4C88-AF28-75B46450558B}"/>
                  </c:ext>
                </c:extLst>
              </c15:ser>
            </c15:filteredScatterSeries>
            <c15:filteredScatterSeries>
              <c15:ser>
                <c:idx val="5"/>
                <c:order val="6"/>
                <c:tx>
                  <c:v>Fe2O3/P25 light</c:v>
                </c:tx>
                <c:spPr>
                  <a:ln w="12700" cap="rnd">
                    <a:solidFill>
                      <a:sysClr val="windowText" lastClr="000000"/>
                    </a:solidFill>
                    <a:prstDash val="dash"/>
                    <a:round/>
                  </a:ln>
                  <a:effectLst/>
                </c:spPr>
                <c:marker>
                  <c:symbol val="circle"/>
                  <c:size val="5"/>
                  <c:spPr>
                    <a:solidFill>
                      <a:schemeClr val="tx1"/>
                    </a:solidFill>
                    <a:ln w="12700">
                      <a:solidFill>
                        <a:sysClr val="windowText" lastClr="000000"/>
                      </a:solidFill>
                      <a:prstDash val="dash"/>
                    </a:ln>
                    <a:effectLst/>
                  </c:spPr>
                </c:marker>
                <c:xVal>
                  <c:numRef>
                    <c:extLst xmlns:c15="http://schemas.microsoft.com/office/drawing/2012/chart">
                      <c:ext xmlns:c15="http://schemas.microsoft.com/office/drawing/2012/chart" uri="{02D57815-91ED-43cb-92C2-25804820EDAC}">
                        <c15:formulaRef>
                          <c15:sqref>Foglio1!$P$19:$P$23</c15:sqref>
                        </c15:formulaRef>
                      </c:ext>
                    </c:extLst>
                    <c:numCache>
                      <c:formatCode>General</c:formatCode>
                      <c:ptCount val="5"/>
                      <c:pt idx="0">
                        <c:v>0</c:v>
                      </c:pt>
                      <c:pt idx="1">
                        <c:v>0.5</c:v>
                      </c:pt>
                      <c:pt idx="2">
                        <c:v>1</c:v>
                      </c:pt>
                      <c:pt idx="3">
                        <c:v>2</c:v>
                      </c:pt>
                      <c:pt idx="4">
                        <c:v>3</c:v>
                      </c:pt>
                    </c:numCache>
                  </c:numRef>
                </c:xVal>
                <c:yVal>
                  <c:numRef>
                    <c:extLst xmlns:c15="http://schemas.microsoft.com/office/drawing/2012/chart">
                      <c:ext xmlns:c15="http://schemas.microsoft.com/office/drawing/2012/chart" uri="{02D57815-91ED-43cb-92C2-25804820EDAC}">
                        <c15:formulaRef>
                          <c15:sqref>Foglio1!$Q$19:$Q$23</c15:sqref>
                        </c15:formulaRef>
                      </c:ext>
                    </c:extLst>
                    <c:numCache>
                      <c:formatCode>0.0</c:formatCode>
                      <c:ptCount val="5"/>
                      <c:pt idx="0">
                        <c:v>5.8506249662649275</c:v>
                      </c:pt>
                      <c:pt idx="1">
                        <c:v>9.0170593013809892</c:v>
                      </c:pt>
                      <c:pt idx="2">
                        <c:v>18.919287213877304</c:v>
                      </c:pt>
                      <c:pt idx="3">
                        <c:v>22.041655859782779</c:v>
                      </c:pt>
                      <c:pt idx="4">
                        <c:v>26.538768984812144</c:v>
                      </c:pt>
                    </c:numCache>
                  </c:numRef>
                </c:yVal>
                <c:smooth val="0"/>
                <c:extLst xmlns:c15="http://schemas.microsoft.com/office/drawing/2012/chart">
                  <c:ext xmlns:c16="http://schemas.microsoft.com/office/drawing/2014/chart" uri="{C3380CC4-5D6E-409C-BE32-E72D297353CC}">
                    <c16:uniqueId val="{0000000A-DEB4-4C88-AF28-75B46450558B}"/>
                  </c:ext>
                </c:extLst>
              </c15:ser>
            </c15:filteredScatterSeries>
            <c15:filteredScatterSeries>
              <c15:ser>
                <c:idx val="4"/>
                <c:order val="7"/>
                <c:tx>
                  <c:v>Fe2O3/P25 dark</c:v>
                </c:tx>
                <c:spPr>
                  <a:ln w="12700" cap="rnd">
                    <a:solidFill>
                      <a:sysClr val="windowText" lastClr="000000"/>
                    </a:solidFill>
                    <a:prstDash val="lgDashDotDot"/>
                    <a:round/>
                  </a:ln>
                  <a:effectLst/>
                </c:spPr>
                <c:marker>
                  <c:symbol val="x"/>
                  <c:size val="5"/>
                  <c:spPr>
                    <a:solidFill>
                      <a:schemeClr val="tx1"/>
                    </a:solidFill>
                    <a:ln w="12700">
                      <a:solidFill>
                        <a:sysClr val="windowText" lastClr="000000"/>
                      </a:solidFill>
                      <a:prstDash val="lgDashDotDot"/>
                    </a:ln>
                    <a:effectLst/>
                  </c:spPr>
                </c:marker>
                <c:xVal>
                  <c:numRef>
                    <c:extLst xmlns:c15="http://schemas.microsoft.com/office/drawing/2012/chart">
                      <c:ext xmlns:c15="http://schemas.microsoft.com/office/drawing/2012/chart" uri="{02D57815-91ED-43cb-92C2-25804820EDAC}">
                        <c15:formulaRef>
                          <c15:sqref>Foglio1!$P$9:$P$13</c15:sqref>
                        </c15:formulaRef>
                      </c:ext>
                    </c:extLst>
                    <c:numCache>
                      <c:formatCode>General</c:formatCode>
                      <c:ptCount val="5"/>
                      <c:pt idx="0">
                        <c:v>0</c:v>
                      </c:pt>
                      <c:pt idx="1">
                        <c:v>0.5</c:v>
                      </c:pt>
                      <c:pt idx="2">
                        <c:v>1</c:v>
                      </c:pt>
                      <c:pt idx="3">
                        <c:v>2</c:v>
                      </c:pt>
                      <c:pt idx="4">
                        <c:v>3</c:v>
                      </c:pt>
                    </c:numCache>
                  </c:numRef>
                </c:xVal>
                <c:yVal>
                  <c:numRef>
                    <c:extLst xmlns:c15="http://schemas.microsoft.com/office/drawing/2012/chart">
                      <c:ext xmlns:c15="http://schemas.microsoft.com/office/drawing/2012/chart" uri="{02D57815-91ED-43cb-92C2-25804820EDAC}">
                        <c15:formulaRef>
                          <c15:sqref>Foglio1!$Q$9:$Q$13</c15:sqref>
                        </c15:formulaRef>
                      </c:ext>
                    </c:extLst>
                    <c:numCache>
                      <c:formatCode>0.0</c:formatCode>
                      <c:ptCount val="5"/>
                      <c:pt idx="0">
                        <c:v>5.8506249662649275</c:v>
                      </c:pt>
                      <c:pt idx="1">
                        <c:v>10.234375000000002</c:v>
                      </c:pt>
                      <c:pt idx="2">
                        <c:v>13.2</c:v>
                      </c:pt>
                      <c:pt idx="3">
                        <c:v>13</c:v>
                      </c:pt>
                      <c:pt idx="4">
                        <c:v>13.713060559304488</c:v>
                      </c:pt>
                    </c:numCache>
                  </c:numRef>
                </c:yVal>
                <c:smooth val="0"/>
                <c:extLst xmlns:c15="http://schemas.microsoft.com/office/drawing/2012/chart">
                  <c:ext xmlns:c16="http://schemas.microsoft.com/office/drawing/2014/chart" uri="{C3380CC4-5D6E-409C-BE32-E72D297353CC}">
                    <c16:uniqueId val="{0000000B-DEB4-4C88-AF28-75B46450558B}"/>
                  </c:ext>
                </c:extLst>
              </c15:ser>
            </c15:filteredScatterSeries>
          </c:ext>
        </c:extLst>
      </c:scatterChart>
      <c:valAx>
        <c:axId val="1978120512"/>
        <c:scaling>
          <c:orientation val="minMax"/>
          <c:max val="3"/>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it-IT" b="0">
                    <a:solidFill>
                      <a:sysClr val="windowText" lastClr="000000"/>
                    </a:solidFill>
                  </a:rPr>
                  <a:t>Time (h)</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it-IT"/>
            </a:p>
          </c:txPr>
        </c:title>
        <c:numFmt formatCode="General" sourceLinked="1"/>
        <c:majorTickMark val="in"/>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it-IT"/>
          </a:p>
        </c:txPr>
        <c:crossAx val="1978115520"/>
        <c:crosses val="autoZero"/>
        <c:crossBetween val="midCat"/>
      </c:valAx>
      <c:valAx>
        <c:axId val="1978115520"/>
        <c:scaling>
          <c:orientation val="minMax"/>
          <c:max val="7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t-IT" b="0">
                    <a:solidFill>
                      <a:sysClr val="windowText" lastClr="000000"/>
                    </a:solidFill>
                  </a:rPr>
                  <a:t>Removal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t-IT"/>
            </a:p>
          </c:txPr>
        </c:title>
        <c:numFmt formatCode="0" sourceLinked="0"/>
        <c:majorTickMark val="in"/>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it-IT"/>
          </a:p>
        </c:txPr>
        <c:crossAx val="1978120512"/>
        <c:crosses val="autoZero"/>
        <c:crossBetween val="midCat"/>
      </c:valAx>
      <c:spPr>
        <a:noFill/>
        <a:ln>
          <a:solidFill>
            <a:sysClr val="windowText" lastClr="000000"/>
          </a:solidFill>
        </a:ln>
        <a:effectLst/>
      </c:spPr>
    </c:plotArea>
    <c:legend>
      <c:legendPos val="r"/>
      <c:layout>
        <c:manualLayout>
          <c:xMode val="edge"/>
          <c:yMode val="edge"/>
          <c:x val="0.1149152617852779"/>
          <c:y val="5.3438424570686129E-2"/>
          <c:w val="0.33979119524163404"/>
          <c:h val="0.23135465422686977"/>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it-IT"/>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0.73419</cdr:x>
      <cdr:y>0.09388</cdr:y>
    </cdr:from>
    <cdr:to>
      <cdr:x>0.84333</cdr:x>
      <cdr:y>0.2051</cdr:y>
    </cdr:to>
    <cdr:sp macro="" textlink="">
      <cdr:nvSpPr>
        <cdr:cNvPr id="2" name="Casella di testo 2"/>
        <cdr:cNvSpPr txBox="1">
          <a:spLocks xmlns:a="http://schemas.openxmlformats.org/drawingml/2006/main" noChangeArrowheads="1"/>
        </cdr:cNvSpPr>
      </cdr:nvSpPr>
      <cdr:spPr bwMode="auto">
        <a:xfrm xmlns:a="http://schemas.openxmlformats.org/drawingml/2006/main">
          <a:off x="2362298" y="190940"/>
          <a:ext cx="351155" cy="22621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pPr algn="just">
            <a:lnSpc>
              <a:spcPct val="110000"/>
            </a:lnSpc>
            <a:tabLst>
              <a:tab pos="4508500" algn="r"/>
            </a:tabLst>
          </a:pPr>
          <a:r>
            <a:rPr lang="en-GB" sz="900">
              <a:effectLst/>
              <a:latin typeface="Arial" panose="020B0604020202020204" pitchFamily="34" charset="0"/>
              <a:ea typeface="Times New Roman" panose="02020603050405020304" pitchFamily="18" charset="0"/>
              <a:cs typeface="Times New Roman" panose="02020603050405020304" pitchFamily="18" charset="0"/>
            </a:rPr>
            <a:t>(d)</a:t>
          </a:r>
          <a:endParaRPr lang="it-IT" sz="900">
            <a:effectLst/>
            <a:latin typeface="Arial" panose="020B0604020202020204" pitchFamily="34" charset="0"/>
            <a:ea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0.58209</cdr:x>
      <cdr:y>0.08122</cdr:y>
    </cdr:from>
    <cdr:to>
      <cdr:x>0.66252</cdr:x>
      <cdr:y>0.17077</cdr:y>
    </cdr:to>
    <cdr:sp macro="" textlink="">
      <cdr:nvSpPr>
        <cdr:cNvPr id="2" name="Casella di testo 2"/>
        <cdr:cNvSpPr txBox="1">
          <a:spLocks xmlns:a="http://schemas.openxmlformats.org/drawingml/2006/main" noChangeArrowheads="1"/>
        </cdr:cNvSpPr>
      </cdr:nvSpPr>
      <cdr:spPr bwMode="auto">
        <a:xfrm xmlns:a="http://schemas.openxmlformats.org/drawingml/2006/main">
          <a:off x="2541563" y="205154"/>
          <a:ext cx="351155" cy="22621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pPr algn="just">
            <a:lnSpc>
              <a:spcPct val="110000"/>
            </a:lnSpc>
            <a:tabLst>
              <a:tab pos="4508500" algn="r"/>
            </a:tabLst>
          </a:pPr>
          <a:r>
            <a:rPr lang="en-GB" sz="900">
              <a:effectLst/>
              <a:latin typeface="Arial" panose="020B0604020202020204" pitchFamily="34" charset="0"/>
              <a:ea typeface="Times New Roman" panose="02020603050405020304" pitchFamily="18" charset="0"/>
              <a:cs typeface="Times New Roman" panose="02020603050405020304" pitchFamily="18" charset="0"/>
            </a:rPr>
            <a:t>(b)</a:t>
          </a:r>
          <a:endParaRPr lang="it-IT" sz="900">
            <a:effectLst/>
            <a:latin typeface="Arial" panose="020B0604020202020204" pitchFamily="34" charset="0"/>
            <a:ea typeface="Times New Roman" panose="02020603050405020304" pitchFamily="18"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0.6706</cdr:x>
      <cdr:y>0.05375</cdr:y>
    </cdr:from>
    <cdr:to>
      <cdr:x>0.76833</cdr:x>
      <cdr:y>0.17179</cdr:y>
    </cdr:to>
    <cdr:sp macro="" textlink="">
      <cdr:nvSpPr>
        <cdr:cNvPr id="3" name="Casella di testo 2"/>
        <cdr:cNvSpPr txBox="1">
          <a:spLocks xmlns:a="http://schemas.openxmlformats.org/drawingml/2006/main" noChangeArrowheads="1"/>
        </cdr:cNvSpPr>
      </cdr:nvSpPr>
      <cdr:spPr bwMode="auto">
        <a:xfrm xmlns:a="http://schemas.openxmlformats.org/drawingml/2006/main">
          <a:off x="2409336" y="103016"/>
          <a:ext cx="351155" cy="22621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pPr algn="just">
            <a:lnSpc>
              <a:spcPct val="110000"/>
            </a:lnSpc>
            <a:tabLst>
              <a:tab pos="4508500" algn="r"/>
            </a:tabLst>
          </a:pPr>
          <a:r>
            <a:rPr lang="en-GB" sz="900">
              <a:effectLst/>
              <a:latin typeface="Arial" panose="020B0604020202020204" pitchFamily="34" charset="0"/>
              <a:ea typeface="Times New Roman" panose="02020603050405020304" pitchFamily="18" charset="0"/>
              <a:cs typeface="Times New Roman" panose="02020603050405020304" pitchFamily="18" charset="0"/>
            </a:rPr>
            <a:t>(c)</a:t>
          </a:r>
          <a:endParaRPr lang="it-IT" sz="900">
            <a:effectLst/>
            <a:latin typeface="Arial" panose="020B0604020202020204" pitchFamily="34" charset="0"/>
            <a:ea typeface="Times New Roman" panose="02020603050405020304" pitchFamily="18" charset="0"/>
            <a:cs typeface="Times New Roman" panose="02020603050405020304" pitchFamily="18" charset="0"/>
          </a:endParaRP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e"/>
          <w:gallery w:val="placeholder"/>
        </w:category>
        <w:types>
          <w:type w:val="bbPlcHdr"/>
        </w:types>
        <w:behaviors>
          <w:behavior w:val="content"/>
        </w:behaviors>
        <w:guid w:val="{3E27F536-31BB-4100-A464-D23261EB8BA3}"/>
      </w:docPartPr>
      <w:docPartBody>
        <w:p w:rsidR="00560EE4" w:rsidRDefault="001C3D7A">
          <w:r w:rsidRPr="00856318">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dvP4DF60E">
    <w:altName w:val="Malgun Gothic"/>
    <w:panose1 w:val="00000000000000000000"/>
    <w:charset w:val="80"/>
    <w:family w:val="auto"/>
    <w:notTrueType/>
    <w:pitch w:val="default"/>
    <w:sig w:usb0="00000001" w:usb1="09070000" w:usb2="00000010" w:usb3="00000000" w:csb0="000A0000"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D7A"/>
    <w:rsid w:val="000116A4"/>
    <w:rsid w:val="001C3D7A"/>
    <w:rsid w:val="00214A09"/>
    <w:rsid w:val="00560EE4"/>
    <w:rsid w:val="0064046A"/>
    <w:rsid w:val="00B64DC0"/>
    <w:rsid w:val="00CC39CB"/>
    <w:rsid w:val="00CD7E78"/>
    <w:rsid w:val="00D05AE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1C3D7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6E2FCD0-AA0C-48ED-A95E-84459DE603A3}">
  <we:reference id="wa104382081" version="1.46.0.0" store="it-IT" storeType="OMEX"/>
  <we:alternateReferences>
    <we:reference id="wa104382081" version="1.46.0.0" store="" storeType="OMEX"/>
  </we:alternateReferences>
  <we:properties>
    <we:property name="MENDELEY_CITATIONS" value="[{&quot;citationID&quot;:&quot;MENDELEY_CITATION_98e8078b-1e39-44b4-a9a5-6501225409a6&quot;,&quot;properties&quot;:{&quot;noteIndex&quot;:0},&quot;isEdited&quot;:false,&quot;manualOverride&quot;:{&quot;isManuallyOverridden&quot;:false,&quot;citeprocText&quot;:&quot;(Somma et al., 2021)&quot;,&quot;manualOverrideText&quot;:&quot;&quot;},&quot;citationTag&quot;:&quot;MENDELEY_CITATION_v3_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&quot;,&quot;citationItems&quot;:[{&quot;id&quot;:&quot;c042aa37-a393-3be8-ac73-b06ccc94fada&quot;,&quot;itemData&quot;:{&quot;type&quot;:&quot;article&quot;,&quot;id&quot;:&quot;c042aa37-a393-3be8-ac73-b06ccc94fada&quot;,&quot;title&quot;:&quot;Water purification of classical and emerging organic pollutants: An extensive review&quot;,&quot;author&quot;:[{&quot;family&quot;:&quot;Somma&quot;,&quot;given&quot;:&quot;Simona&quot;,&quot;parse-names&quot;:false,&quot;dropping-particle&quot;:&quot;&quot;,&quot;non-dropping-particle&quot;:&quot;&quot;},{&quot;family&quot;:&quot;Reverchon&quot;,&quot;given&quot;:&quot;Ernesto&quot;,&quot;parse-names&quot;:false,&quot;dropping-particle&quot;:&quot;&quot;,&quot;non-dropping-particle&quot;:&quot;&quot;},{&quot;family&quot;:&quot;Baldino&quot;,&quot;given&quot;:&quot;Lucia&quot;,&quot;parse-names&quot;:false,&quot;dropping-particle&quot;:&quot;&quot;,&quot;non-dropping-particle&quot;:&quot;&quot;}],&quot;container-title&quot;:&quot;ChemEngineering&quot;,&quot;DOI&quot;:&quot;10.3390/chemengineering5030047&quot;,&quot;ISSN&quot;:&quot;23057084&quot;,&quot;issued&quot;:{&quot;date-parts&quot;:[[2021,9,1]]},&quot;abstract&quot;:&quot;The main techniques used for organic pollutant removal from water are adsorption, reductive and oxidative processes, phytoremediation, bioremediation, separation by membranes and liquid–liquid extraction. In this review, strengths and weaknesses of the different purification techniques are discussed, with particular attention to the newest results published in the scientific literature. This study highlighted that adsorption is the most frequently used method for water purification, since it can balance high organic pollutants removal efficiency, it has the possibility to treat a large quantity of water in semi-continuous way and has acceptable costs.&quot;,&quot;publisher&quot;:&quot;MDPI AG&quot;,&quot;issue&quot;:&quot;3&quot;,&quot;volume&quot;:&quot;5&quot;,&quot;container-title-short&quot;:&quot;&quot;},&quot;isTemporary&quot;:false}]},{&quot;citationID&quot;:&quot;MENDELEY_CITATION_1db50a94-e195-4f8c-be6e-b0f54d9c974c&quot;,&quot;properties&quot;:{&quot;noteIndex&quot;:0},&quot;isEdited&quot;:false,&quot;manualOverride&quot;:{&quot;isManuallyOverridden&quot;:false,&quot;citeprocText&quot;:&quot;(Akartasse et al., 2022)&quot;,&quot;manualOverrideText&quot;:&quot;&quot;},&quot;citationTag&quot;:&quot;MENDELEY_CITATION_v3_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&quot;,&quot;citationItems&quot;:[{&quot;id&quot;:&quot;82bf049d-d44f-3079-bba3-a242f28587ad&quot;,&quot;itemData&quot;:{&quot;type&quot;:&quot;article-journal&quot;,&quot;id&quot;:&quot;82bf049d-d44f-3079-bba3-a242f28587ad&quot;,&quot;title&quot;:&quot;Chitosan-Hydroxyapatite Bio-Based Composite in Film Form: Synthesis and Application in Wastewater&quot;,&quot;author&quot;:[{&quot;family&quot;:&quot;Akartasse&quot;,&quot;given&quot;:&quot;Noureddine&quot;,&quot;parse-names&quot;:false,&quot;dropping-particle&quot;:&quot;&quot;,&quot;non-dropping-particle&quot;:&quot;&quot;},{&quot;family&quot;:&quot;Azzaoui&quot;,&quot;given&quot;:&quot;Khalil&quot;,&quot;parse-names&quot;:false,&quot;dropping-particle&quot;:&quot;&quot;,&quot;non-dropping-particle&quot;:&quot;&quot;},{&quot;family&quot;:&quot;Mejdoubi&quot;,&quot;given&quot;:&quot;Elmiloud&quot;,&quot;parse-names&quot;:false,&quot;dropping-particle&quot;:&quot;&quot;,&quot;non-dropping-particle&quot;:&quot;&quot;},{&quot;family&quot;:&quot;Elansari&quot;,&quot;given&quot;:&quot;Lhaj Lahcen&quot;,&quot;parse-names&quot;:false,&quot;dropping-particle&quot;:&quot;&quot;,&quot;non-dropping-particle&quot;:&quot;&quot;},{&quot;family&quot;:&quot;Hammouti&quot;,&quot;given&quot;:&quot;Belkhir&quot;,&quot;parse-names&quot;:false,&quot;dropping-particle&quot;:&quot;&quot;,&quot;non-dropping-particle&quot;:&quot;&quot;},{&quot;family&quot;:&quot;Siaj&quot;,&quot;given&quot;:&quot;Mohamed&quot;,&quot;parse-names&quot;:false,&quot;dropping-particle&quot;:&quot;&quot;,&quot;non-dropping-particle&quot;:&quot;&quot;},{&quot;family&quot;:&quot;Jodeh&quot;,&quot;given&quot;:&quot;Shehdeh&quot;,&quot;parse-names&quot;:false,&quot;dropping-particle&quot;:&quot;&quot;,&quot;non-dropping-particle&quot;:&quot;&quot;},{&quot;family&quot;:&quot;Hanbali&quot;,&quot;given&quot;:&quot;Ghadir&quot;,&quot;parse-names&quot;:false,&quot;dropping-particle&quot;:&quot;&quot;,&quot;non-dropping-particle&quot;:&quot;&quot;},{&quot;family&quot;:&quot;Hamed&quot;,&quot;given&quot;:&quot;Rinad&quot;,&quot;parse-names&quot;:false,&quot;dropping-particle&quot;:&quot;&quot;,&quot;non-dropping-particle&quot;:&quot;&quot;},{&quot;family&quot;:&quot;Rhazi&quot;,&quot;given&quot;:&quot;Larbi&quot;,&quot;parse-names&quot;:false,&quot;dropping-particle&quot;:&quot;&quot;,&quot;non-dropping-particle&quot;:&quot;&quot;}],&quot;container-title&quot;:&quot;Polymers&quot;,&quot;container-title-short&quot;:&quot;Polymers (Basel)&quot;,&quot;DOI&quot;:&quot;10.3390/polym14204265&quot;,&quot;ISSN&quot;:&quot;20734360&quot;,&quot;issued&quot;:{&quot;date-parts&quot;:[[2022,10,1]]},&quot;abstract&quot;:&quot;Water purification from toxic metals was the main objective of this work. A composite in film form was prepared from the biomaterials hydroxyapatite, chitosan and glycerol using the dissolution/recrystallization method. A nanoparticle-based film with a homogenous and smooth surface was produced. The results of total reflectance infrared spectroscopy (ATR-FTIR) and thermal gravimetric analysis (TGA/DTA) demonstrated the presence of a substantial physical force between composite components. The composite was tested for its ability to absorb Cd2+ and Zn2+ ions from aqueous solutions. Cd2+ and Zn2+ adsorption mechanisms are fit using the Langmuir model and the pseudo-second-order model. Thermodynamic parameters indicated that Cd2+ and Zn2+ ion adsorption onto the composite surface is spontaneous and preferred at neutral pH and temperatures somewhat higher than room temperature. The adsorption studies showed that the maximum adsorption capacity of the HAp/CTs bio-composite membrane for Cd2+ and Zn2+ ions was in the order of cadmium (120 mg/g) &gt; Zinc (90 mg/g) at an equilibrium time of 20 min and a temperature of 25 °C. The results obtained on the physico-chemical properties of nanocomposite membranes and their sorption capacities offer promising potential for industrial and biological activities.&quot;,&quot;publisher&quot;:&quot;MDPI&quot;,&quot;issue&quot;:&quot;20&quot;,&quot;volume&quot;:&quot;14&quot;},&quot;isTemporary&quot;:false}]},{&quot;citationID&quot;:&quot;MENDELEY_CITATION_4d06ea51-a920-4ad6-a671-2be561155898&quot;,&quot;properties&quot;:{&quot;noteIndex&quot;:0},&quot;isEdited&quot;:false,&quot;manualOverride&quot;:{&quot;isManuallyOverridden&quot;:false,&quot;citeprocText&quot;:&quot;(Akerdi &amp;#38; Bahrami, 2019)&quot;,&quot;manualOverrideText&quot;:&quot;&quot;},&quot;citationTag&quot;:&quot;MENDELEY_CITATION_v3_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&quot;,&quot;citationItems&quot;:[{&quot;id&quot;:&quot;1c280285-1f2c-3ddf-a795-6061c76f588e&quot;,&quot;itemData&quot;:{&quot;type&quot;:&quot;article&quot;,&quot;id&quot;:&quot;1c280285-1f2c-3ddf-a795-6061c76f588e&quot;,&quot;title&quot;:&quot;Application of heterogeneous nano-semiconductors for photocatalytic advanced oxidation of organic compounds: A review&quot;,&quot;author&quot;:[{&quot;family&quot;:&quot;Akerdi&quot;,&quot;given&quot;:&quot;Abdollah Gholami&quot;,&quot;parse-names&quot;:false,&quot;dropping-particle&quot;:&quot;&quot;,&quot;non-dropping-particle&quot;:&quot;&quot;},{&quot;family&quot;:&quot;Bahrami&quot;,&quot;given&quot;:&quot;S. Hajir&quot;,&quot;parse-names&quot;:false,&quot;dropping-particle&quot;:&quot;&quot;,&quot;non-dropping-particle&quot;:&quot;&quot;}],&quot;container-title&quot;:&quot;Journal of Environmental Chemical Engineering&quot;,&quot;container-title-short&quot;:&quot;J Environ Chem Eng&quot;,&quot;DOI&quot;:&quot;10.1016/j.jece.2019.103283&quot;,&quot;ISSN&quot;:&quot;22133437&quot;,&quot;issued&quot;:{&quot;date-parts&quot;:[[2019,10,1]]},&quot;abstract&quot;:&quot;Advanced oxidation processes (AOPs) introduce a hopeful technology for the removal of water polluted with hard degradable organic compounds. Today, one of the main effective AOP technologies to degrade these hazardous organics is via the photocatalytic process. The present review focuses on the recent progress in the fixed-bed and immobilized nanophotocatalysts and also their applications for resolving the environmental concerns. Various organics elimination using a variety of photocatalysts and innovative reactors are discussed. This critical review summarizes the recent progress in the synthesis and modification (physical and chemical) of semiconductors. Furthermore, different ways of photocatalysts immobilization are explained in details. By considering different dangerous chemicals present in wastewater and different industries, catalytic methods used by researchers to degrade these organic compounds are reviewed. In addition, the degradation pathway of some organics through the catalytic operation is described.&quot;,&quot;publisher&quot;:&quot;Elsevier Ltd&quot;,&quot;issue&quot;:&quot;5&quot;,&quot;volume&quot;:&quot;7&quot;},&quot;isTemporary&quot;:false}]},{&quot;citationID&quot;:&quot;MENDELEY_CITATION_6d6106db-9b85-449e-9c77-1201c4af4eef&quot;,&quot;properties&quot;:{&quot;noteIndex&quot;:0},&quot;isEdited&quot;:false,&quot;manualOverride&quot;:{&quot;isManuallyOverridden&quot;:false,&quot;citeprocText&quot;:&quot;(Kuriakose et al., 2013)&quot;,&quot;manualOverrideText&quot;:&quot;&quot;},&quot;citationTag&quot;:&quot;MENDELEY_CITATION_v3_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&quot;,&quot;citationItems&quot;:[{&quot;id&quot;:&quot;41df0b8c-0cd2-388a-a940-f73760861488&quot;,&quot;itemData&quot;:{&quot;type&quot;:&quot;article-journal&quot;,&quot;id&quot;:&quot;41df0b8c-0cd2-388a-a940-f73760861488&quot;,&quot;title&quot;:&quot;Structural, optical and photocatalytic properties of flower-like ZnO nanostructures prepared by a facile wet chemical method&quot;,&quot;author&quot;:[{&quot;family&quot;:&quot;Kuriakose&quot;,&quot;given&quot;:&quot;Sini&quot;,&quot;parse-names&quot;:false,&quot;dropping-particle&quot;:&quot;&quot;,&quot;non-dropping-particle&quot;:&quot;&quot;},{&quot;family&quot;:&quot;Bhardwaj&quot;,&quot;given&quot;:&quot;Neha&quot;,&quot;parse-names&quot;:false,&quot;dropping-particle&quot;:&quot;&quot;,&quot;non-dropping-particle&quot;:&quot;&quot;},{&quot;family&quot;:&quot;Singh&quot;,&quot;given&quot;:&quot;Jaspal&quot;,&quot;parse-names&quot;:false,&quot;dropping-particle&quot;:&quot;&quot;,&quot;non-dropping-particle&quot;:&quot;&quot;},{&quot;family&quot;:&quot;Satpati&quot;,&quot;given&quot;:&quot;Biswarup&quot;,&quot;parse-names&quot;:false,&quot;dropping-particle&quot;:&quot;&quot;,&quot;non-dropping-particle&quot;:&quot;&quot;},{&quot;family&quot;:&quot;Mohapatra&quot;,&quot;given&quot;:&quot;Satyabrata&quot;,&quot;parse-names&quot;:false,&quot;dropping-particle&quot;:&quot;&quot;,&quot;non-dropping-particle&quot;:&quot;&quot;}],&quot;container-title&quot;:&quot;Beilstein Journal of Nanotechnology&quot;,&quot;DOI&quot;:&quot;10.3762/bjnano.4.87&quot;,&quot;ISSN&quot;:&quot;21904286&quot;,&quot;issued&quot;:{&quot;date-parts&quot;:[[2013]]},&quot;page&quot;:&quot;763-770&quot;,&quot;abstract&quot;:&quot;Flower-like ZnO nanostructures were synthesized by a facile wet chemical method. Structural, optical and photocatalytic properties of these nanostructures have been studied by X-ray diffraction (XRD), scanning electron microscopy (SEM), transmission electron microscopy (TEM), photoluminescence (PL) and UV-vis absorption spectroscopy. SEM and TEM studies revealed flower-like structures consisting of nanosheets, formed due to oriented attachment of ZnO nanoparticles. Flower-like ZnO structures showed enhanced photocatalytic activity towards sun-light driven photodegradation of methylene blue dye (MB) as compared to ZnO nanoparticles. XRD, UV-vis absorption, PL, FTIR and TEM studies revealed the formation of Zn(OH)2 surface layer on ZnO nanostructures upon ageing. We demonstrate that the formation of a passivating Zn(OH)2 surface layer on the ZnO nanostructures upon ageing deteriorates their efficiency to photocatalytically degrade of MB. © 2013 Kuriakose et al; licensee Beilstein-Institut.&quot;,&quot;issue&quot;:&quot;1&quot;,&quot;volume&quot;:&quot;4&quot;,&quot;container-title-short&quot;:&quot;&quot;},&quot;isTemporary&quot;:false}]},{&quot;citationID&quot;:&quot;MENDELEY_CITATION_7416c620-09ef-4ca7-b91c-5ce595b1294c&quot;,&quot;properties&quot;:{&quot;noteIndex&quot;:0},&quot;isEdited&quot;:false,&quot;manualOverride&quot;:{&quot;isManuallyOverridden&quot;:false,&quot;citeprocText&quot;:&quot;(Kuriakose et al., 2013)&quot;,&quot;manualOverrideText&quot;:&quot;&quot;},&quot;citationTag&quot;:&quot;MENDELEY_CITATION_v3_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&quot;,&quot;citationItems&quot;:[{&quot;id&quot;:&quot;41df0b8c-0cd2-388a-a940-f73760861488&quot;,&quot;itemData&quot;:{&quot;type&quot;:&quot;article-journal&quot;,&quot;id&quot;:&quot;41df0b8c-0cd2-388a-a940-f73760861488&quot;,&quot;title&quot;:&quot;Structural, optical and photocatalytic properties of flower-like ZnO nanostructures prepared by a facile wet chemical method&quot;,&quot;author&quot;:[{&quot;family&quot;:&quot;Kuriakose&quot;,&quot;given&quot;:&quot;Sini&quot;,&quot;parse-names&quot;:false,&quot;dropping-particle&quot;:&quot;&quot;,&quot;non-dropping-particle&quot;:&quot;&quot;},{&quot;family&quot;:&quot;Bhardwaj&quot;,&quot;given&quot;:&quot;Neha&quot;,&quot;parse-names&quot;:false,&quot;dropping-particle&quot;:&quot;&quot;,&quot;non-dropping-particle&quot;:&quot;&quot;},{&quot;family&quot;:&quot;Singh&quot;,&quot;given&quot;:&quot;Jaspal&quot;,&quot;parse-names&quot;:false,&quot;dropping-particle&quot;:&quot;&quot;,&quot;non-dropping-particle&quot;:&quot;&quot;},{&quot;family&quot;:&quot;Satpati&quot;,&quot;given&quot;:&quot;Biswarup&quot;,&quot;parse-names&quot;:false,&quot;dropping-particle&quot;:&quot;&quot;,&quot;non-dropping-particle&quot;:&quot;&quot;},{&quot;family&quot;:&quot;Mohapatra&quot;,&quot;given&quot;:&quot;Satyabrata&quot;,&quot;parse-names&quot;:false,&quot;dropping-particle&quot;:&quot;&quot;,&quot;non-dropping-particle&quot;:&quot;&quot;}],&quot;container-title&quot;:&quot;Beilstein Journal of Nanotechnology&quot;,&quot;DOI&quot;:&quot;10.3762/bjnano.4.87&quot;,&quot;ISSN&quot;:&quot;21904286&quot;,&quot;issued&quot;:{&quot;date-parts&quot;:[[2013]]},&quot;page&quot;:&quot;763-770&quot;,&quot;abstract&quot;:&quot;Flower-like ZnO nanostructures were synthesized by a facile wet chemical method. Structural, optical and photocatalytic properties of these nanostructures have been studied by X-ray diffraction (XRD), scanning electron microscopy (SEM), transmission electron microscopy (TEM), photoluminescence (PL) and UV-vis absorption spectroscopy. SEM and TEM studies revealed flower-like structures consisting of nanosheets, formed due to oriented attachment of ZnO nanoparticles. Flower-like ZnO structures showed enhanced photocatalytic activity towards sun-light driven photodegradation of methylene blue dye (MB) as compared to ZnO nanoparticles. XRD, UV-vis absorption, PL, FTIR and TEM studies revealed the formation of Zn(OH)2 surface layer on ZnO nanostructures upon ageing. We demonstrate that the formation of a passivating Zn(OH)2 surface layer on the ZnO nanostructures upon ageing deteriorates their efficiency to photocatalytically degrade of MB. © 2013 Kuriakose et al; licensee Beilstein-Institut.&quot;,&quot;issue&quot;:&quot;1&quot;,&quot;volume&quot;:&quot;4&quot;,&quot;container-title-short&quot;:&quot;&quot;},&quot;isTemporary&quot;:false}]},{&quot;citationID&quot;:&quot;MENDELEY_CITATION_0515acb5-d3ac-462b-8d0b-3258d2ec3e94&quot;,&quot;properties&quot;:{&quot;noteIndex&quot;:0},&quot;isEdited&quot;:false,&quot;manualOverride&quot;:{&quot;isManuallyOverridden&quot;:false,&quot;citeprocText&quot;:&quot;(Bokov et al., 2021)&quot;,&quot;manualOverrideText&quot;:&quot;&quot;},&quot;citationTag&quot;:&quot;MENDELEY_CITATION_v3_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&quot;,&quot;citationItems&quot;:[{&quot;id&quot;:&quot;32ae4df5-c156-37e4-85de-1e939536ae47&quot;,&quot;itemData&quot;:{&quot;type&quot;:&quot;article&quot;,&quot;id&quot;:&quot;32ae4df5-c156-37e4-85de-1e939536ae47&quot;,&quot;title&quot;:&quot;Nanomaterial by Sol-Gel Method: Synthesis and Application&quot;,&quot;author&quot;:[{&quot;family&quot;:&quot;Bokov&quot;,&quot;given&quot;:&quot;Dmitry&quot;,&quot;parse-names&quot;:false,&quot;dropping-particle&quot;:&quot;&quot;,&quot;non-dropping-particle&quot;:&quot;&quot;},{&quot;family&quot;:&quot;Turki Jalil&quot;,&quot;given&quot;:&quot;Abduladheem&quot;,&quot;parse-names&quot;:false,&quot;dropping-particle&quot;:&quot;&quot;,&quot;non-dropping-particle&quot;:&quot;&quot;},{&quot;family&quot;:&quot;Chupradit&quot;,&quot;given&quot;:&quot;Supat&quot;,&quot;parse-names&quot;:false,&quot;dropping-particle&quot;:&quot;&quot;,&quot;non-dropping-particle&quot;:&quot;&quot;},{&quot;family&quot;:&quot;Suksatan&quot;,&quot;given&quot;:&quot;Wanich&quot;,&quot;parse-names&quot;:false,&quot;dropping-particle&quot;:&quot;&quot;,&quot;non-dropping-particle&quot;:&quot;&quot;},{&quot;family&quot;:&quot;Javed Ansari&quot;,&quot;given&quot;:&quot;Mohammad&quot;,&quot;parse-names&quot;:false,&quot;dropping-particle&quot;:&quot;&quot;,&quot;non-dropping-particle&quot;:&quot;&quot;},{&quot;family&quot;:&quot;Shewael&quot;,&quot;given&quot;:&quot;Iman H.&quot;,&quot;parse-names&quot;:false,&quot;dropping-particle&quot;:&quot;&quot;,&quot;non-dropping-particle&quot;:&quot;&quot;},{&quot;family&quot;:&quot;Valiev&quot;,&quot;given&quot;:&quot;Gabdrakhman H.&quot;,&quot;parse-names&quot;:false,&quot;dropping-particle&quot;:&quot;&quot;,&quot;non-dropping-particle&quot;:&quot;&quot;},{&quot;family&quot;:&quot;Kianfar&quot;,&quot;given&quot;:&quot;Ehsan&quot;,&quot;parse-names&quot;:false,&quot;dropping-particle&quot;:&quot;&quot;,&quot;non-dropping-particle&quot;:&quot;&quot;}],&quot;container-title&quot;:&quot;Advances in Materials Science and Engineering&quot;,&quot;DOI&quot;:&quot;10.1155/2021/5102014&quot;,&quot;ISSN&quot;:&quot;16878442&quot;,&quot;issued&quot;:{&quot;date-parts&quot;:[[2021]]},&quot;abstract&quot;:&quot;The sol-gel process is a more chemical method (wet chemical method) for the synthesis of various nanostructures, especially metal oxide nanoparticles. In this method, the molecular precursor (usually metal alkoxide) is dissolved in water or alcohol and converted to gel by heating and stirring by hydrolysis/alcoholysis. Since the gel obtained from the hydrolysis/alcoholysis process is wet or damp, it should be dried using appropriate methods depending on the desired properties and application of the gel. For example, if it is an alcoholic solution, the drying process is done by burning alcohol. After the drying stage, the produced gels are powdered and then calcined. The sol-gel method is a cost-effective method and due to the low reaction temperature there is good control over the chemical composition of the products. The sol-gel method can be used in the process of making ceramics as a molding material and can be used as an intermediate between thin films of metal oxides in various applications. The materials obtained from the sol-gel method are used in various optical, electronic, energy, surface engineering, biosensors, and pharmaceutical and separation technologies (such as chromatography). The sol-gel method is a conventional and industrial method for the synthesis of nanoparticles with different chemical composition. The basis of the sol-gel method is the production of a homogeneous sol from the precursors and its conversion into a gel. The solvent in the gel is then removed from the gel structure and the remaining gel is dried. The properties of the dried gel depend significantly on the drying method. In other words, the \&quot;removing solvent method\&quot;is selected according to the application in which the gel will be used. Dried gels in various ways are used in industries such as surface coating, building insulation, and the production of special clothing. It is worth mentioning that, by grinding the gel by special mills, it is possible to achieve nanoparticles.&quot;,&quot;publisher&quot;:&quot;Hindawi Limited&quot;,&quot;volume&quot;:&quot;2021&quot;,&quot;container-title-short&quot;:&quot;&quot;},&quot;isTemporary&quot;:false}]},{&quot;citationID&quot;:&quot;MENDELEY_CITATION_cba946d0-fd1c-4722-8176-8073a270608a&quot;,&quot;properties&quot;:{&quot;noteIndex&quot;:0},&quot;isEdited&quot;:false,&quot;manualOverride&quot;:{&quot;isManuallyOverridden&quot;:false,&quot;citeprocText&quot;:&quot;(Torres-Limiñana et al., 2022)&quot;,&quot;manualOverrideText&quot;:&quot;&quot;},&quot;citationTag&quot;:&quot;MENDELEY_CITATION_v3_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&quot;,&quot;citationItems&quot;:[{&quot;id&quot;:&quot;b76a549e-6d77-3b80-8c80-52e6820509b6&quot;,&quot;itemData&quot;:{&quot;type&quot;:&quot;article-journal&quot;,&quot;id&quot;:&quot;b76a549e-6d77-3b80-8c80-52e6820509b6&quot;,&quot;title&quot;:&quot;Green Synthesis via Eucalyptus globulus L. Extract of Ag-TiO2 Catalyst: Antimicrobial Activity Evaluation toward Water Disinfection Process&quot;,&quot;author&quot;:[{&quot;family&quot;:&quot;Torres-Limiñana&quot;,&quot;given&quot;:&quot;Jacqueline&quot;,&quot;parse-names&quot;:false,&quot;dropping-particle&quot;:&quot;&quot;,&quot;non-dropping-particle&quot;:&quot;&quot;},{&quot;family&quot;:&quot;Feregrino-Pérez&quot;,&quot;given&quot;:&quot;Ana A.&quot;,&quot;parse-names&quot;:false,&quot;dropping-particle&quot;:&quot;&quot;,&quot;non-dropping-particle&quot;:&quot;&quot;},{&quot;family&quot;:&quot;Vega-González&quot;,&quot;given&quot;:&quot;Marina&quot;,&quot;parse-names&quot;:false,&quot;dropping-particle&quot;:&quot;&quot;,&quot;non-dropping-particle&quot;:&quot;&quot;},{&quot;family&quot;:&quot;Escobar-Alarcón&quot;,&quot;given&quot;:&quot;Luis&quot;,&quot;parse-names&quot;:false,&quot;dropping-particle&quot;:&quot;&quot;,&quot;non-dropping-particle&quot;:&quot;&quot;},{&quot;family&quot;:&quot;Cervantes-Chávez&quot;,&quot;given&quot;:&quot;José Antonio&quot;,&quot;parse-names&quot;:false,&quot;dropping-particle&quot;:&quot;&quot;,&quot;non-dropping-particle&quot;:&quot;&quot;},{&quot;family&quot;:&quot;Esquivel&quot;,&quot;given&quot;:&quot;Karen&quot;,&quot;parse-names&quot;:false,&quot;dropping-particle&quot;:&quot;&quot;,&quot;non-dropping-particle&quot;:&quot;&quot;}],&quot;container-title&quot;:&quot;Nanomaterials&quot;,&quot;DOI&quot;:&quot;10.3390/nano12111944&quot;,&quot;ISSN&quot;:&quot;20794991&quot;,&quot;issued&quot;:{&quot;date-parts&quot;:[[2022,6,1]]},&quot;abstract&quot;:&quot;The problem of water pollution by persistent substances and microorganisms requires solutions that materials such as silver-modified titanium dioxide can provide due to their excellent photocatalytic and antimicrobial properties. However, the synthesis methods conventionally used to obtain these materials involve toxic chemical reagents such as sodium borohydride (NaBH4). The search for alternative synthesis methods that use environmentally friendly substances, such as the biosynthesis method, was evaluated. Silver-titanium dioxide (Ag-TiO2) was synthesized by a Eucalyptus globulus L. extract as a reductive agent through sol-gel and microwave-assisted sol-gel processes. Four different solvents were tested to extract secondary metabolites to determine their roles in reducing silver nanoparticles. Titanium dioxide nanoparticles with sizes from 11 to 14 nm were obtained in the anatase phase, and no narrowing of the bandgap was observed (3.1–3.2 eV) for the Ag-TiO2 materials compared with the pure TiO2. Interestingly, the bacterial inhibition values were close to 100%, suggesting an effective antimicrobial mechanism related to the properties of silver. Finally, by the physicochemical characterization of the materials and their antimicrobial properties, it was possible to obtain a suitable biosynthesized Ag-TiO2 material as a green option for water disinfection that may be compared to the conventional methods.&quot;,&quot;publisher&quot;:&quot;MDPI&quot;,&quot;issue&quot;:&quot;11&quot;,&quot;volume&quot;:&quot;12&quot;,&quot;container-title-short&quot;:&quot;&quot;},&quot;isTemporary&quot;:false}]},{&quot;citationID&quot;:&quot;MENDELEY_CITATION_476054db-81f2-4e6d-aa69-a9ea3eb44e2d&quot;,&quot;properties&quot;:{&quot;noteIndex&quot;:0},&quot;isEdited&quot;:false,&quot;manualOverride&quot;:{&quot;isManuallyOverridden&quot;:false,&quot;citeprocText&quot;:&quot;(Mashuri et al., 2020)&quot;,&quot;manualOverrideText&quot;:&quot;&quot;},&quot;citationTag&quot;:&quot;MENDELEY_CITATION_v3_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&quot;,&quot;citationItems&quot;:[{&quot;id&quot;:&quot;76703236-23af-3b57-a7ab-bd30c90f72e8&quot;,&quot;itemData&quot;:{&quot;type&quot;:&quot;article&quot;,&quot;id&quot;:&quot;76703236-23af-3b57-a7ab-bd30c90f72e8&quot;,&quot;title&quot;:&quot;Photocatalysis for organic wastewater treatment: From the basis to current challenges for society&quot;,&quot;author&quot;:[{&quot;family&quot;:&quot;Mashuri&quot;,&quot;given&quot;:&quot;Salma Izati Sinar&quot;,&quot;parse-names&quot;:false,&quot;dropping-particle&quot;:&quot;&quot;,&quot;non-dropping-particle&quot;:&quot;&quot;},{&quot;family&quot;:&quot;Ibrahim&quot;,&quot;given&quot;:&quot;Mohd Lokman&quot;,&quot;parse-names&quot;:false,&quot;dropping-particle&quot;:&quot;&quot;,&quot;non-dropping-particle&quot;:&quot;&quot;},{&quot;family&quot;:&quot;Kasim&quot;,&quot;given&quot;:&quot;Muhd Firdaus&quot;,&quot;parse-names&quot;:false,&quot;dropping-particle&quot;:&quot;&quot;,&quot;non-dropping-particle&quot;:&quot;&quot;},{&quot;family&quot;:&quot;Mastuli&quot;,&quot;given&quot;:&quot;Mohd Sufri&quot;,&quot;parse-names&quot;:false,&quot;dropping-particle&quot;:&quot;&quot;,&quot;non-dropping-particle&quot;:&quot;&quot;},{&quot;family&quot;:&quot;Rashid&quot;,&quot;given&quot;:&quot;Umer&quot;,&quot;parse-names&quot;:false,&quot;dropping-particle&quot;:&quot;&quot;,&quot;non-dropping-particle&quot;:&quot;&quot;},{&quot;family&quot;:&quot;Abdullah&quot;,&quot;given&quot;:&quot;Abdul Halim&quot;,&quot;parse-names&quot;:false,&quot;dropping-particle&quot;:&quot;&quot;,&quot;non-dropping-particle&quot;:&quot;&quot;},{&quot;family&quot;:&quot;Islam&quot;,&quot;given&quot;:&quot;Aminul&quot;,&quot;parse-names&quot;:false,&quot;dropping-particle&quot;:&quot;&quot;,&quot;non-dropping-particle&quot;:&quot;&quot;},{&quot;family&quot;:&quot;Asikin-Mijan&quot;,&quot;given&quot;:&quot;N.&quot;,&quot;parse-names&quot;:false,&quot;dropping-particle&quot;:&quot;&quot;,&quot;non-dropping-particle&quot;:&quot;&quot;},{&quot;family&quot;:&quot;Tan&quot;,&quot;given&quot;:&quot;Yie Hua&quot;,&quot;parse-names&quot;:false,&quot;dropping-particle&quot;:&quot;&quot;,&quot;non-dropping-particle&quot;:&quot;&quot;},{&quot;family&quot;:&quot;Mansir&quot;,&quot;given&quot;:&quot;Nasar&quot;,&quot;parse-names&quot;:false,&quot;dropping-particle&quot;:&quot;&quot;,&quot;non-dropping-particle&quot;:&quot;&quot;},{&quot;family&quot;:&quot;Kaus&quot;,&quot;given&quot;:&quot;Noor Haida Mohd&quot;,&quot;parse-names&quot;:false,&quot;dropping-particle&quot;:&quot;&quot;,&quot;non-dropping-particle&quot;:&quot;&quot;},{&quot;family&quot;:&quot;Hin&quot;,&quot;given&quot;:&quot;Taufiq Yap Yun&quot;,&quot;parse-names&quot;:false,&quot;dropping-particle&quot;:&quot;&quot;,&quot;non-dropping-particle&quot;:&quot;&quot;}],&quot;container-title&quot;:&quot;Catalysts&quot;,&quot;DOI&quot;:&quot;10.3390/catal10111260&quot;,&quot;ISSN&quot;:&quot;20734344&quot;,&quot;issued&quot;:{&quot;date-parts&quot;:[[2020,11,1]]},&quot;page&quot;:&quot;1-29&quot;,&quot;abstract&quot;:&quot;Organic pollutants such as dyes, antibiotics, analgesics, herbicides, pesticides, and stimulants become major sources of water pollution. Several treatments such as absorptions, coagulation, filtration, and oxidations were introduced and experimentally carried out to overcome these problems. Nowadays, an advanced technique by photocatalytic degradation attracts the attention of most researchers due to its interesting and promising mechanism that allows spontaneous and non-spontaneous reactions as they utilized light energy to initiate the reaction. However, only a few numbers of photocatalysts reported were able to completely degrade organic pollutants. In the past decade, the number of preparation techniques of photocatalyst such as doping, morphology manipulation, metal loading, and coupling heterojunction were studied and tested. Thus, in this paper, we reviewed details on the fundamentals, common photocatalyst preparation for coupling heterojunction, morphological effect, and photocatalyst’s characterization techniques. The important variables such as catalyst dosage, pH, and initial concentration of sample pollution, irradiation time by light, temperature system, durability, and stability of the catalyst that potentially affect the efficiency of the process were also discussed. Overall, this paper offers an in-depth perspective of photocatalytic degradation of sample pollutions and its future direction.&quot;,&quot;publisher&quot;:&quot;MDPI&quot;,&quot;issue&quot;:&quot;11&quot;,&quot;volume&quot;:&quot;10&quot;,&quot;container-title-short&quot;:&quot;&quot;},&quot;isTemporary&quot;:false}]},{&quot;citationID&quot;:&quot;MENDELEY_CITATION_d70eb7f1-b1f1-4b01-b1c0-b161e8e97f3f&quot;,&quot;properties&quot;:{&quot;noteIndex&quot;:0},&quot;isEdited&quot;:false,&quot;manualOverride&quot;:{&quot;isManuallyOverridden&quot;:false,&quot;citeprocText&quot;:&quot;(Ahmed et al., 2013)&quot;,&quot;manualOverrideText&quot;:&quot;&quot;},&quot;citationTag&quot;:&quot;MENDELEY_CITATION_v3_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&quot;,&quot;citationItems&quot;:[{&quot;id&quot;:&quot;fac3ea70-1428-3d58-af1c-fa98d2d4c59e&quot;,&quot;itemData&quot;:{&quot;type&quot;:&quot;article-journal&quot;,&quot;id&quot;:&quot;fac3ea70-1428-3d58-af1c-fa98d2d4c59e&quot;,&quot;title&quot;:&quot;Photocatalytic degradation of methylene blue dye using Fe2O 3/TiO2 nanoparticles prepared by sol-gel method&quot;,&quot;author&quot;:[{&quot;family&quot;:&quot;Ahmed&quot;,&quot;given&quot;:&quot;M. A.&quot;,&quot;parse-names&quot;:false,&quot;dropping-particle&quot;:&quot;&quot;,&quot;non-dropping-particle&quot;:&quot;&quot;},{&quot;family&quot;:&quot;El-Katori&quot;,&quot;given&quot;:&quot;Emad E.&quot;,&quot;parse-names&quot;:false,&quot;dropping-particle&quot;:&quot;&quot;,&quot;non-dropping-particle&quot;:&quot;&quot;},{&quot;family&quot;:&quot;Gharni&quot;,&quot;given&quot;:&quot;Zarha H.&quot;,&quot;parse-names&quot;:false,&quot;dropping-particle&quot;:&quot;&quot;,&quot;non-dropping-particle&quot;:&quot;&quot;}],&quot;container-title&quot;:&quot;Journal of Alloys and Compounds&quot;,&quot;container-title-short&quot;:&quot;J Alloys Compd&quot;,&quot;DOI&quot;:&quot;10.1016/j.jallcom.2012.10.038&quot;,&quot;ISSN&quot;:&quot;09258388&quot;,&quot;issued&quot;:{&quot;date-parts&quot;:[[2013,3,15]]},&quot;page&quot;:&quot;19-29&quot;,&quot;abstract&quot;:&quot;The photocatalytic degradation of methylene blue dye was successfully carried under UV irradiation over Fe2O3/TiO2 nanoparticles embedded various composition of Fe2O3 (0-20) wt.% synthesized by sol-gel process. Structural and textural features of the mixed oxide samples were investigated by X-ray diffraction [XRD], Fourier transformer infra-red [FTIR], Energy dispersive X-ray [EDX], Field emission electron microscope [FESEM] and transmission electron microscope [TEM]. However, the optical features were estimated using UV-Vis spectrophotometer. The results reveal that the incorporation of various Fe2O3 up to 7% is associated by remarkable increase in surface area, reduction of particle size, stabilization of anatase phase, shifting the photoexcitation response of the sample to visible region and exceptional degradation of methylene blue dye. On the other hand, increasing Fe2O3 contents up to 20 wt.% is associated by anatase-rutile transformation, increasing in particle size and remarkable decrease in surface area which are prime factors in reducing the degradation process. The experimental results indicate that Fe2O 3/TiO2 nanoparticles having both the advantages of photodegradation-adsorption process which considered a promising new photocatalysts that involve in the abatement of various organic pollutants. © 2012 Elsevier B.V. All rights reserved.&quot;,&quot;volume&quot;:&quot;553&quot;},&quot;isTemporary&quot;:false}]},{&quot;citationID&quot;:&quot;MENDELEY_CITATION_54f9368b-eef4-4308-b02c-0ae59ee52303&quot;,&quot;properties&quot;:{&quot;noteIndex&quot;:0},&quot;isEdited&quot;:false,&quot;manualOverride&quot;:{&quot;isManuallyOverridden&quot;:false,&quot;citeprocText&quot;:&quot;(Mohan et al., 2021)&quot;,&quot;manualOverrideText&quot;:&quot;&quot;},&quot;citationTag&quot;:&quot;MENDELEY_CITATION_v3_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&quot;,&quot;citationItems&quot;:[{&quot;id&quot;:&quot;6cfc94f6-68e2-3b7f-a2c2-3d6fee5a671f&quot;,&quot;itemData&quot;:{&quot;type&quot;:&quot;article-journal&quot;,&quot;id&quot;:&quot;6cfc94f6-68e2-3b7f-a2c2-3d6fee5a671f&quot;,&quot;title&quot;:&quot;Enhanced visible light-driven photocatalysis of iron-oxide/titania composite: Norfloxacin degradation mechanism and toxicity study&quot;,&quot;author&quot;:[{&quot;family&quot;:&quot;Mohan&quot;,&quot;given&quot;:&quot;Harshavardhan&quot;,&quot;parse-names&quot;:false,&quot;dropping-particle&quot;:&quot;&quot;,&quot;non-dropping-particle&quot;:&quot;&quot;},{&quot;family&quot;:&quot;Ramasamy&quot;,&quot;given&quot;:&quot;Mohankandhasamy&quot;,&quot;parse-names&quot;:false,&quot;dropping-particle&quot;:&quot;&quot;,&quot;non-dropping-particle&quot;:&quot;&quot;},{&quot;family&quot;:&quot;Ramalingam&quot;,&quot;given&quot;:&quot;Vaikundamoorthy&quot;,&quot;parse-names&quot;:false,&quot;dropping-particle&quot;:&quot;&quot;,&quot;non-dropping-particle&quot;:&quot;&quot;},{&quot;family&quot;:&quot;Natesan&quot;,&quot;given&quot;:&quot;Karthi&quot;,&quot;parse-names&quot;:false,&quot;dropping-particle&quot;:&quot;&quot;,&quot;non-dropping-particle&quot;:&quot;&quot;},{&quot;family&quot;:&quot;Duraisamy&quot;,&quot;given&quot;:&quot;Maruthamani&quot;,&quot;parse-names&quot;:false,&quot;dropping-particle&quot;:&quot;&quot;,&quot;non-dropping-particle&quot;:&quot;&quot;},{&quot;family&quot;:&quot;Venkatachalam&quot;,&quot;given&quot;:&quot;Janaki&quot;,&quot;parse-names&quot;:false,&quot;dropping-particle&quot;:&quot;&quot;,&quot;non-dropping-particle&quot;:&quot;&quot;},{&quot;family&quot;:&quot;Shin&quot;,&quot;given&quot;:&quot;Taeho&quot;,&quot;parse-names&quot;:false,&quot;dropping-particle&quot;:&quot;&quot;,&quot;non-dropping-particle&quot;:&quot;&quot;},{&quot;family&quot;:&quot;Seralathan&quot;,&quot;given&quot;:&quot;Kamala Kannan&quot;,&quot;parse-names&quot;:false,&quot;dropping-particle&quot;:&quot;&quot;,&quot;non-dropping-particle&quot;:&quot;&quot;}],&quot;container-title&quot;:&quot;Journal of Hazardous Materials&quot;,&quot;container-title-short&quot;:&quot;J Hazard Mater&quot;,&quot;DOI&quot;:&quot;10.1016/j.jhazmat.2021.125330&quot;,&quot;ISSN&quot;:&quot;18733336&quot;,&quot;PMID&quot;:&quot;33951878&quot;,&quot;issued&quot;:{&quot;date-parts&quot;:[[2021,6,15]]},&quot;abstract&quot;:&quot;A simulated visible light-mediated iron oxide-titania (IoT) nanocomposite was employed to degrade the antibiotic norfloxacin (NFN) photocatalytically. The photocatalyst were prepared using a sol-gel method with controlled titania loadings to iron oxide by altering the fabrications step. The nanocomposites were structurally characterized by field emission scanning electron microscopy (FE-SEM), energy-dispersive X-ray spectroscopy (EDX), field emission high-resolution transmission electron microscopy (HR-TEM), X-ray diffraction (XRD), Fourier transform infrared (FT-IR) spectroscopy, Diffuse reflectance UV–visible spectra (DRS-UV) spectroscopy, cyclic voltammetry, and X-ray photoelectron spectroscopy (XPS). It was observed that 100 mg/L of iron oxide doped titania loading at 1:4 (IoT-4) achieved the maximum photocatalytic activity in a 75 mg/100 mL of NFN solution within 60 min of the reaction time under visible light irradiation. The NFN degradation mechanism affirmed using HPLC-MS/MS analysis and the results confirmed the complete NFN degradation without residual intermediates. Significant, sustained recyclability was obtained by completely removing the contaminant up to 5 cycles with 90% degradation ability till nine cycles. Bacterial- and phytotoxicity data ascertain that the photocatalyzed and contaminant-free water is safe for the environment. The outstanding photocatalytic performance in removing organic pollutants indicates the potential application of IoT nanocomposites in real-time environmental remediation.&quot;,&quot;publisher&quot;:&quot;Elsevier B.V.&quot;,&quot;volume&quot;:&quot;412&quot;},&quot;isTemporary&quot;:false}]},{&quot;citationID&quot;:&quot;MENDELEY_CITATION_73ffeda1-685b-4dec-96f7-679e76dfdb86&quot;,&quot;properties&quot;:{&quot;noteIndex&quot;:0},&quot;isEdited&quot;:false,&quot;manualOverride&quot;:{&quot;isManuallyOverridden&quot;:false,&quot;citeprocText&quot;:&quot;(Barba-Nieto et al., 2020)&quot;,&quot;manualOverrideText&quot;:&quot;&quot;},&quot;citationTag&quot;:&quot;MENDELEY_CITATION_v3_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&quot;,&quot;citationItems&quot;:[{&quot;id&quot;:&quot;627c97e8-819a-3b08-9b8b-d5a1bbfc5cb7&quot;,&quot;itemData&quot;:{&quot;type&quot;:&quot;article&quot;,&quot;id&quot;:&quot;627c97e8-819a-3b08-9b8b-d5a1bbfc5cb7&quot;,&quot;title&quot;:&quot;Sunlight-Operated TiO2-Based Photocatalysts&quot;,&quot;author&quot;:[{&quot;family&quot;:&quot;Barba-Nieto&quot;,&quot;given&quot;:&quot;Irene&quot;,&quot;parse-names&quot;:false,&quot;dropping-particle&quot;:&quot;&quot;,&quot;non-dropping-particle&quot;:&quot;&quot;},{&quot;family&quot;:&quot;Caudillo-Flores&quot;,&quot;given&quot;:&quot;Uriel&quot;,&quot;parse-names&quot;:false,&quot;dropping-particle&quot;:&quot;&quot;,&quot;non-dropping-particle&quot;:&quot;&quot;},{&quot;family&quot;:&quot;Fernández-García&quot;,&quot;given&quot;:&quot;Marcos&quot;,&quot;parse-names&quot;:false,&quot;dropping-particle&quot;:&quot;&quot;,&quot;non-dropping-particle&quot;:&quot;&quot;},{&quot;family&quot;:&quot;Kubacka&quot;,&quot;given&quot;:&quot;Anna&quot;,&quot;parse-names&quot;:false,&quot;dropping-particle&quot;:&quot;&quot;,&quot;non-dropping-particle&quot;:&quot;&quot;}],&quot;container-title&quot;:&quot;Molecules&quot;,&quot;DOI&quot;:&quot;10.3390/molecules25174008&quot;,&quot;ISSN&quot;:&quot;14203049&quot;,&quot;PMID&quot;:&quot;32887383&quot;,&quot;issued&quot;:{&quot;date-parts&quot;:[[2020,9,1]]},&quot;abstract&quot;:&quot;Photo-catalysis is a research field with broad applications in terms of potential technological applications related to energy production and managing, environmental protection, and chemical synthesis fields. A global goal, common to all of these fields, is to generate photo-catalytic materials able to use a renewable energy source such as the sun. As most active photocatalysts such as titanium oxides are essentially UV absorbers, they need to be upgraded in order to achieve the fruitful use of the whole solar spectrum, from UV to infrared wavelengths. A lot of different strategies have been pursued to reach this goal. Here, we selected representative examples of the most successful ones. We mainly highlighted doping and composite systems as those with higher potential in this quest. For each of these two approaches, we highlight the different possibilities explored in the literature. For doping of the main photocatalysts, we consider the use of metal and non-metals oriented to modify the band gap energy as well as to create specific localized electronic states. We also described selected cases of using up-conversion doping cations. For composite systems, we described the use of binary and ternary systems. In addition to a main photo-catalyst, these systems contain low band gap, up-conversion or plasmonic semiconductors, plasmonic and non-plasmonic metals and polymers.&quot;,&quot;publisher&quot;:&quot;MDPI AG&quot;,&quot;issue&quot;:&quot;17&quot;,&quot;volume&quot;:&quot;25&quot;,&quot;container-title-short&quot;:&quot;&quot;},&quot;isTemporary&quot;:false}]},{&quot;citationID&quot;:&quot;MENDELEY_CITATION_60ab550e-9e5c-4c97-bd83-f08063a4218f&quot;,&quot;properties&quot;:{&quot;noteIndex&quot;:0},&quot;isEdited&quot;:false,&quot;manualOverride&quot;:{&quot;isManuallyOverridden&quot;:false,&quot;citeprocText&quot;:&quot;(Khasawneh et al., 2021)&quot;,&quot;manualOverrideText&quot;:&quot;&quot;},&quot;citationTag&quot;:&quot;MENDELEY_CITATION_v3_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&quot;,&quot;citationItems&quot;:[{&quot;id&quot;:&quot;5267c108-00a0-3fd6-9ee9-3f0beee61a94&quot;,&quot;itemData&quot;:{&quot;type&quot;:&quot;article-journal&quot;,&quot;id&quot;:&quot;5267c108-00a0-3fd6-9ee9-3f0beee61a94&quot;,&quot;title&quot;:&quot;Removal of acetaminophen using Fe2O3-TiO2nanocomposites by photocatalysis under simulated solar irradiation: Optimization study&quot;,&quot;author&quot;:[{&quot;family&quot;:&quot;Khasawneh&quot;,&quot;given&quot;:&quot;Omar Fawzi Suleiman&quot;,&quot;parse-names&quot;:false,&quot;dropping-particle&quot;:&quot;&quot;,&quot;non-dropping-particle&quot;:&quot;&quot;},{&quot;family&quot;:&quot;Palaniandy&quot;,&quot;given&quot;:&quot;Puganeshwary&quot;,&quot;parse-names&quot;:false,&quot;dropping-particle&quot;:&quot;&quot;,&quot;non-dropping-particle&quot;:&quot;&quot;},{&quot;family&quot;:&quot;Palaniandy&quot;,&quot;given&quot;:&quot;Puganeshwary&quot;,&quot;parse-names&quot;:false,&quot;dropping-particle&quot;:&quot;&quot;,&quot;non-dropping-particle&quot;:&quot;&quot;},{&quot;family&quot;:&quot;Ahmadipour&quot;,&quot;given&quot;:&quot;Mohsen&quot;,&quot;parse-names&quot;:false,&quot;dropping-particle&quot;:&quot;&quot;,&quot;non-dropping-particle&quot;:&quot;&quot;},{&quot;family&quot;:&quot;Mohammadi&quot;,&quot;given&quot;:&quot;Hossein&quot;,&quot;parse-names&quot;:false,&quot;dropping-particle&quot;:&quot;&quot;,&quot;non-dropping-particle&quot;:&quot;&quot;},{&quot;family&quot;:&quot;Hamdan&quot;,&quot;given&quot;:&quot;Mohammad Razak&quot;,&quot;parse-names&quot;:false,&quot;dropping-particle&quot;:&quot;&quot;,&quot;non-dropping-particle&quot;:&quot;bin&quot;}],&quot;container-title&quot;:&quot;Journal of Environmental Chemical Engineering&quot;,&quot;container-title-short&quot;:&quot;J Environ Chem Eng&quot;,&quot;DOI&quot;:&quot;10.1016/j.jece.2020.104921&quot;,&quot;ISSN&quot;:&quot;22133437&quot;,&quot;issued&quot;:{&quot;date-parts&quot;:[[2021,2,1]]},&quot;abstract&quot;:&quot;The pharmaceutical compound, acetaminophen (ACT), is considered an environmental contaminant of emerging concern due to its persistent and bioaccumulation as well as toxicity towards human health and aquatic life. Conventional wastewater treatment processes are ineffective in the removal of ACT; thus, advanced oxidation processes (AOPs) are required. The heterogeneous photocatalysis process based on TiO2 semiconductor presents an effective route for the degradation of various pharmaceuticals. In this sense, Fe2O3-TiO2 nanocomposites were synthesized via the sol-gel method and characterized via XRD, N2 physisorption, FE-SEM, EDX, UV-vis DRS, TEM, XPS, and FT-IR. The results showed that the incorporation of 5wt% Fe2O3 has significantly increased the BET surface area, reduced particle size, stabilized the anatase phase, enhanced the optical properties of Fe2O3-TiO2 by a redshift to longer wavelength (visible light), and reduced the bandgap to 1.6eV. The XPS results confirmed the presence of T4+ and Fe3+ in the synthesized nanocomposite., while TEM images confirmed the reduction in particle size. The photocatalytic degradation of ACT was further optimized by the response surface method based on Face-centered central composite design. Results revealed that the highest removal rate of ACT was observed at alkaline (pH 11) conditions, initial concentration of ACT of 30mg/L, and catalyst loading of 1.25g/L.&quot;,&quot;publisher&quot;:&quot;Elsevier Ltd&quot;,&quot;issue&quot;:&quot;1&quot;,&quot;volume&quot;:&quot;9&quot;},&quot;isTemporary&quot;:false}]},{&quot;citationID&quot;:&quot;MENDELEY_CITATION_a866159e-4e08-4ef8-a032-80f0d8120174&quot;,&quot;properties&quot;:{&quot;noteIndex&quot;:0},&quot;isEdited&quot;:false,&quot;manualOverride&quot;:{&quot;isManuallyOverridden&quot;:false,&quot;citeprocText&quot;:&quot;(Barba-Nieto et al., 2020)&quot;,&quot;manualOverrideText&quot;:&quot;&quot;},&quot;citationTag&quot;:&quot;MENDELEY_CITATION_v3_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&quot;,&quot;citationItems&quot;:[{&quot;id&quot;:&quot;627c97e8-819a-3b08-9b8b-d5a1bbfc5cb7&quot;,&quot;itemData&quot;:{&quot;type&quot;:&quot;article&quot;,&quot;id&quot;:&quot;627c97e8-819a-3b08-9b8b-d5a1bbfc5cb7&quot;,&quot;title&quot;:&quot;Sunlight-Operated TiO2-Based Photocatalysts&quot;,&quot;author&quot;:[{&quot;family&quot;:&quot;Barba-Nieto&quot;,&quot;given&quot;:&quot;Irene&quot;,&quot;parse-names&quot;:false,&quot;dropping-particle&quot;:&quot;&quot;,&quot;non-dropping-particle&quot;:&quot;&quot;},{&quot;family&quot;:&quot;Caudillo-Flores&quot;,&quot;given&quot;:&quot;Uriel&quot;,&quot;parse-names&quot;:false,&quot;dropping-particle&quot;:&quot;&quot;,&quot;non-dropping-particle&quot;:&quot;&quot;},{&quot;family&quot;:&quot;Fernández-García&quot;,&quot;given&quot;:&quot;Marcos&quot;,&quot;parse-names&quot;:false,&quot;dropping-particle&quot;:&quot;&quot;,&quot;non-dropping-particle&quot;:&quot;&quot;},{&quot;family&quot;:&quot;Kubacka&quot;,&quot;given&quot;:&quot;Anna&quot;,&quot;parse-names&quot;:false,&quot;dropping-particle&quot;:&quot;&quot;,&quot;non-dropping-particle&quot;:&quot;&quot;}],&quot;container-title&quot;:&quot;Molecules&quot;,&quot;DOI&quot;:&quot;10.3390/molecules25174008&quot;,&quot;ISSN&quot;:&quot;14203049&quot;,&quot;PMID&quot;:&quot;32887383&quot;,&quot;issued&quot;:{&quot;date-parts&quot;:[[2020,9,1]]},&quot;abstract&quot;:&quot;Photo-catalysis is a research field with broad applications in terms of potential technological applications related to energy production and managing, environmental protection, and chemical synthesis fields. A global goal, common to all of these fields, is to generate photo-catalytic materials able to use a renewable energy source such as the sun. As most active photocatalysts such as titanium oxides are essentially UV absorbers, they need to be upgraded in order to achieve the fruitful use of the whole solar spectrum, from UV to infrared wavelengths. A lot of different strategies have been pursued to reach this goal. Here, we selected representative examples of the most successful ones. We mainly highlighted doping and composite systems as those with higher potential in this quest. For each of these two approaches, we highlight the different possibilities explored in the literature. For doping of the main photocatalysts, we consider the use of metal and non-metals oriented to modify the band gap energy as well as to create specific localized electronic states. We also described selected cases of using up-conversion doping cations. For composite systems, we described the use of binary and ternary systems. In addition to a main photo-catalyst, these systems contain low band gap, up-conversion or plasmonic semiconductors, plasmonic and non-plasmonic metals and polymers.&quot;,&quot;publisher&quot;:&quot;MDPI AG&quot;,&quot;issue&quot;:&quot;17&quot;,&quot;volume&quot;:&quot;25&quot;,&quot;container-title-short&quot;:&quot;&quot;},&quot;isTemporary&quot;:false}]},{&quot;citationID&quot;:&quot;MENDELEY_CITATION_65a64cf3-f365-472a-845f-80df5c1f24a9&quot;,&quot;properties&quot;:{&quot;noteIndex&quot;:0},&quot;isEdited&quot;:false,&quot;manualOverride&quot;:{&quot;isManuallyOverridden&quot;:false,&quot;citeprocText&quot;:&quot;(Li et al., 2008)&quot;,&quot;manualOverrideText&quot;:&quot;&quot;},&quot;citationTag&quot;:&quot;MENDELEY_CITATION_v3_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&quot;,&quot;citationItems&quot;:[{&quot;id&quot;:&quot;e09ca5b3-0b45-36cd-a941-12f54d4dce42&quot;,&quot;itemData&quot;:{&quot;type&quot;:&quot;article&quot;,&quot;id&quot;:&quot;e09ca5b3-0b45-36cd-a941-12f54d4dce42&quot;,&quot;title&quot;:&quot;Kinetic study and model of the photocatalytic degradation of rhodamine B (RhB) by a TiO2-coated activated carbon catalyst: Effects of initial RhB content, light intensity and TiO2 content in the catalyst&quot;,&quot;author&quot;:[{&quot;family&quot;:&quot;Li&quot;,&quot;given&quot;:&quot;Youji&quot;,&quot;parse-names&quot;:false,&quot;dropping-particle&quot;:&quot;&quot;,&quot;non-dropping-particle&quot;:&quot;&quot;},{&quot;family&quot;:&quot;Sun&quot;,&quot;given&quot;:&quot;Shuguo&quot;,&quot;parse-names&quot;:false,&quot;dropping-particle&quot;:&quot;&quot;,&quot;non-dropping-particle&quot;:&quot;&quot;},{&quot;family&quot;:&quot;Ma&quot;,&quot;given&quot;:&quot;Mingyuan&quot;,&quot;parse-names&quot;:false,&quot;dropping-particle&quot;:&quot;&quot;,&quot;non-dropping-particle&quot;:&quot;&quot;},{&quot;family&quot;:&quot;Ouyang&quot;,&quot;given&quot;:&quot;Yuzhu&quot;,&quot;parse-names&quot;:false,&quot;dropping-particle&quot;:&quot;&quot;,&quot;non-dropping-particle&quot;:&quot;&quot;},{&quot;family&quot;:&quot;Yan&quot;,&quot;given&quot;:&quot;Wenbin&quot;,&quot;parse-names&quot;:false,&quot;dropping-particle&quot;:&quot;&quot;,&quot;non-dropping-particle&quot;:&quot;&quot;}],&quot;container-title&quot;:&quot;Chemical Engineering Journal&quot;,&quot;DOI&quot;:&quot;10.1016/j.cej.2008.01.009&quot;,&quot;ISSN&quot;:&quot;13858947&quot;,&quot;issued&quot;:{&quot;date-parts&quot;:[[2008,8,15]]},&quot;page&quot;:&quot;147-155&quot;,&quot;abstract&quot;:&quot;Heterogeneous photocatalysis has proved to be a useful tool for the degradation of water pollutants over the past 30 years. Despite notable achievements in this domain, a more satisfactory and accurate kinetic model has to be developed further. In this work, to clarify the dependence of the apparent rate constant kapp of the first-order kinetics on the initial organic content, light intensity and TiO2 content of TiO2/AC (TiO2-coated activated carbon, TA), the photocatalytic treatment of rhodamine B (RhB) as a model compound has been studied by using TA in suspension as a photocatalyst. The photocatalytic degradation kinetic characteristics were experimentally investigated under different reaction conditions (light intensity, initial organic content and TiO2 content of TA). To account for the experimental results, a new kinetic model is proposed on the basis of intrinsic element reactions, which takes into account the effect of light intensity, reaction intermediates, and the absorption performance on h+ forming, organic compound combining with {radical dot}OH and degradation rate, respectively. The new kinetic model fairly resembles the classic Langmuir-Hinshelwood equation from its expression. However, it does predict that both kr- 1 and KS are linearly proportional to the reciprocal of the square root of the light intensity in a rather large intensity range. The model fits quite well with the experimental data and elucidates phenomena about the effects of the TiO2 content of TA on the degradation rate. © 2008 Elsevier B.V. All rights reserved.&quot;,&quot;issue&quot;:&quot;2&quot;,&quot;volume&quot;:&quot;142&quot;,&quot;container-title-short&quot;:&quot;&quot;},&quot;isTemporary&quot;:false}]},{&quot;citationID&quot;:&quot;MENDELEY_CITATION_1ed3fc12-2bda-48f3-9d51-aa959ff2c4b2&quot;,&quot;properties&quot;:{&quot;noteIndex&quot;:0},&quot;isEdited&quot;:false,&quot;manualOverride&quot;:{&quot;isManuallyOverridden&quot;:false,&quot;citeprocText&quot;:&quot;(Wei et al., 2018)&quot;,&quot;manualOverrideText&quot;:&quot;&quot;},&quot;citationTag&quot;:&quot;MENDELEY_CITATION_v3_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&quot;,&quot;citationItems&quot;:[{&quot;id&quot;:&quot;784d6bf0-74e0-30e2-91a5-04e21c2bbafe&quot;,&quot;itemData&quot;:{&quot;type&quot;:&quot;article-journal&quot;,&quot;id&quot;:&quot;784d6bf0-74e0-30e2-91a5-04e21c2bbafe&quot;,&quot;title&quot;:&quot;Visible light photocatalytic mineralization of 17α-ethinyl estradiol (EE2) and hydrogen evolution over silver and strontium modified TiO2 nanoparticles: Mechanisms and phytotoxicity assessment&quot;,&quot;author&quot;:[{&quot;family&quot;:&quot;Wei&quot;,&quot;given&quot;:&quot;Xueyu&quot;,&quot;parse-names&quot;:false,&quot;dropping-particle&quot;:&quot;&quot;,&quot;non-dropping-particle&quot;:&quot;&quot;},{&quot;family&quot;:&quot;Li&quot;,&quot;given&quot;:&quot;Jie&quot;,&quot;parse-names&quot;:false,&quot;dropping-particle&quot;:&quot;&quot;,&quot;non-dropping-particle&quot;:&quot;&quot;},{&quot;family&quot;:&quot;Liu&quot;,&quot;given&quot;:&quot;Zhigang&quot;,&quot;parse-names&quot;:false,&quot;dropping-particle&quot;:&quot;&quot;,&quot;non-dropping-particle&quot;:&quot;&quot;},{&quot;family&quot;:&quot;Yang&quot;,&quot;given&quot;:&quot;Xiaofan&quot;,&quot;parse-names&quot;:false,&quot;dropping-particle&quot;:&quot;&quot;,&quot;non-dropping-particle&quot;:&quot;&quot;},{&quot;family&quot;:&quot;Naraginti&quot;,&quot;given&quot;:&quot;Saraschandra&quot;,&quot;parse-names&quot;:false,&quot;dropping-particle&quot;:&quot;&quot;,&quot;non-dropping-particle&quot;:&quot;&quot;},{&quot;family&quot;:&quot;Xu&quot;,&quot;given&quot;:&quot;Xiaoping&quot;,&quot;parse-names&quot;:false,&quot;dropping-particle&quot;:&quot;&quot;,&quot;non-dropping-particle&quot;:&quot;&quot;},{&quot;family&quot;:&quot;Wang&quot;,&quot;given&quot;:&quot;Xiaoju&quot;,&quot;parse-names&quot;:false,&quot;dropping-particle&quot;:&quot;&quot;,&quot;non-dropping-particle&quot;:&quot;&quot;}],&quot;container-title&quot;:&quot;RSC Advances&quot;,&quot;container-title-short&quot;:&quot;RSC Adv&quot;,&quot;DOI&quot;:&quot;10.1039/c7ra12638g&quot;,&quot;ISSN&quot;:&quot;20462069&quot;,&quot;issued&quot;:{&quot;date-parts&quot;:[[2018]]},&quot;page&quot;:&quot;4329-4339&quot;,&quot;abstract&quot;:&quot;This study focusses on the novel synthesis of silver and strontium modified TiO2 nanocomposite through a sol-gel method, which was then utilized for visible light degradation of EE2 and hydrogen production for the first time. Results indicated that co-doping of strontium and silver in the lattice of TiO2 could remarkably narrow the band gap (2.89 eV) for efficient visible light activity, as indicated by UV-DRS, PL and photocurrent experiment results. The obtained nanocomposite was further characterized by various techniques including XRD, TEM, and XPS analysis. Furthermore, the well characterized photocatalyst was investigated for the photocatalytic hydrogen evolution under visible light irradiation. The hydrogen production rate of double atom doped TiO2 (Sr/Ag-TiO2, 49.4 μmol h-1) is 2.6 times higher than that of single atom dopant (Ag-TiO2, 19.6 μmol h-1) nanocomposite. The plausible degradation pathway of EE2 during the photocatalytic process was investigated by LC-ESI/MS analysis. Additionally, to understand the toxicity of degraded metabolites and EE2, phytotoxicity testing was carried out on two common seeds, V. radiata and P. vulgaris., and 30% and 40% germination rate was noticed for seeds exposed to 50 ppm concentration of EE2 in V. radiata and P. vulgaris respectively, while 100% was noticed in seeds exposed to degraded metabolites, which revealed the less toxic nature of degraded metabolites compared to pure EE2. In addition, substantial growth rate was also observed in the roots and shoots of the seeds treated with the degraded metabolites compared to pure EE2. Therefore, the present study demonstrates the detoxification of EE2 and evolution of hydrogen under visible light, and would greatly help in evaluation and extenuation of the environmental risk of EE2 for water reuse and the generation of clean energy.&quot;,&quot;publisher&quot;:&quot;Royal Society of Chemistry&quot;,&quot;issue&quot;:&quot;8&quot;,&quot;volume&quot;:&quot;8&quot;},&quot;isTemporary&quot;:false}]},{&quot;citationID&quot;:&quot;MENDELEY_CITATION_1077fdc8-de96-48bd-b2da-b5b170b81b01&quot;,&quot;properties&quot;:{&quot;noteIndex&quot;:0},&quot;isEdited&quot;:false,&quot;manualOverride&quot;:{&quot;isManuallyOverridden&quot;:false,&quot;citeprocText&quot;:&quot;(Wang et al., 2005)&quot;,&quot;manualOverrideText&quot;:&quot;&quot;},&quot;citationTag&quot;:&quot;MENDELEY_CITATION_v3_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&quot;,&quot;citationItems&quot;:[{&quot;id&quot;:&quot;998f5ead-d362-399a-ab48-7babde9d0ab8&quot;,&quot;itemData&quot;:{&quot;type&quot;:&quot;article-journal&quot;,&quot;id&quot;:&quot;998f5ead-d362-399a-ab48-7babde9d0ab8&quot;,&quot;title&quot;:&quot;Pyrogenic iron(III)-doped TiO2 nanopowders synthesized in RF thermal plasma: Phase formation, defect structure, band gap, and magnetic properties&quot;,&quot;author&quot;:[{&quot;family&quot;:&quot;Wang&quot;,&quot;given&quot;:&quot;X. H.&quot;,&quot;parse-names&quot;:false,&quot;dropping-particle&quot;:&quot;&quot;,&quot;non-dropping-particle&quot;:&quot;&quot;},{&quot;family&quot;:&quot;Li&quot;,&quot;given&quot;:&quot;J. G.&quot;,&quot;parse-names&quot;:false,&quot;dropping-particle&quot;:&quot;&quot;,&quot;non-dropping-particle&quot;:&quot;&quot;},{&quot;family&quot;:&quot;Kamiyama&quot;,&quot;given&quot;:&quot;H.&quot;,&quot;parse-names&quot;:false,&quot;dropping-particle&quot;:&quot;&quot;,&quot;non-dropping-particle&quot;:&quot;&quot;},{&quot;family&quot;:&quot;Katada&quot;,&quot;given&quot;:&quot;M.&quot;,&quot;parse-names&quot;:false,&quot;dropping-particle&quot;:&quot;&quot;,&quot;non-dropping-particle&quot;:&quot;&quot;},{&quot;family&quot;:&quot;Ohashi&quot;,&quot;given&quot;:&quot;N.&quot;,&quot;parse-names&quot;:false,&quot;dropping-particle&quot;:&quot;&quot;,&quot;non-dropping-particle&quot;:&quot;&quot;},{&quot;family&quot;:&quot;Moriyoshi&quot;,&quot;given&quot;:&quot;Y.&quot;,&quot;parse-names&quot;:false,&quot;dropping-particle&quot;:&quot;&quot;,&quot;non-dropping-particle&quot;:&quot;&quot;},{&quot;family&quot;:&quot;Ishigaki&quot;,&quot;given&quot;:&quot;T.&quot;,&quot;parse-names&quot;:false,&quot;dropping-particle&quot;:&quot;&quot;,&quot;non-dropping-particle&quot;:&quot;&quot;}],&quot;container-title&quot;:&quot;Journal of the American Chemical Society&quot;,&quot;container-title-short&quot;:&quot;J Am Chem Soc&quot;,&quot;DOI&quot;:&quot;10.1021/ja051240n&quot;,&quot;ISSN&quot;:&quot;00027863&quot;,&quot;issued&quot;:{&quot;date-parts&quot;:[[2005,8,10]]},&quot;page&quot;:&quot;10982-10990&quot;,&quot;abstract&quot;:&quot;Iron(III)-doped TiO2 nanopowders, with controlled iron to titanium atomic ratios (RFe/Ti) ranging from nominal 0 to 20%, were synthesized using oxidative pyrolysis of liquid-feed metallorganic precursors in a radiation-frequency (RF) thermal plasma. The valence of iron doped in the TiO2, phase formation, defect structures, band gaps, and magnetic properties of the resultant nanopowders were systematically investigated using Mössbauer spectroscopy, XRD, Raman spectroscopy, TEM/HRTEM, UV-vis spectroscopy, and measurements of magnetic properties. The iron doped in TiO2 was trivalent (3+) in a high-spin state as determined by the isomer shift and quadrupole splitting from the Mössbauer spectra. No other phases except anatase and rutile TiO2 were identified in the resultant nanopowders. Interestingly, thermodynamically metastable anatase predominated in the undoped TiO2 nanopowders, which can be explained from a kinetic point of view based on classical homogeneous nucleation theory. With iron doping, the formation of rutile was strongly promoted because rutile is more tolerant than anatase to the defects such as oxygen vacancies resulting from the substitution of Fe3+ for Ti4+ in TiO2. The concentration of oxygen vacancies reached a maximum at RFe/Ti = 2% above which excessive oxygen vacancies tended to concentrate. As a result of this concentration, an extended defect like crystallographic shear (CS) structure was established. With iron doping, red shift of the absorption edges occurred in addition to the d-d electron transition of iron in the visible light region. The as-prepared iron-doped TiO2 nanopowders were paramagnetic in nature at room temperature. © 2005 American Chemical Society.&quot;,&quot;issue&quot;:&quot;31&quot;,&quot;volume&quot;:&quot;127&quot;},&quot;isTemporary&quot;:false}]},{&quot;citationID&quot;:&quot;MENDELEY_CITATION_2d14e73d-374e-4332-9ada-64b2de3f50ee&quot;,&quot;properties&quot;:{&quot;noteIndex&quot;:0},&quot;isEdited&quot;:false,&quot;manualOverride&quot;:{&quot;isManuallyOverridden&quot;:false,&quot;citeprocText&quot;:&quot;(Abbas et al., 2016)&quot;,&quot;manualOverrideText&quot;:&quot;&quot;},&quot;citationTag&quot;:&quot;MENDELEY_CITATION_v3_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&quot;,&quot;citationItems&quot;:[{&quot;id&quot;:&quot;2a143bba-47ce-34f9-a0c7-0844a92bd9de&quot;,&quot;itemData&quot;:{&quot;type&quot;:&quot;article-journal&quot;,&quot;id&quot;:&quot;2a143bba-47ce-34f9-a0c7-0844a92bd9de&quot;,&quot;title&quot;:&quot;Sol–gel synthesis of TiO2-Fe2O3 systems: Effects of Fe2O3 content and their photocatalytic properties&quot;,&quot;author&quot;:[{&quot;family&quot;:&quot;Abbas&quot;,&quot;given&quot;:&quot;Nadir&quot;,&quot;parse-names&quot;:false,&quot;dropping-particle&quot;:&quot;&quot;,&quot;non-dropping-particle&quot;:&quot;&quot;},{&quot;family&quot;:&quot;Shao&quot;,&quot;given&quot;:&quot;Godlisten N.&quot;,&quot;parse-names&quot;:false,&quot;dropping-particle&quot;:&quot;&quot;,&quot;non-dropping-particle&quot;:&quot;&quot;},{&quot;family&quot;:&quot;Haider&quot;,&quot;given&quot;:&quot;M. Salman&quot;,&quot;parse-names&quot;:false,&quot;dropping-particle&quot;:&quot;&quot;,&quot;non-dropping-particle&quot;:&quot;&quot;},{&quot;family&quot;:&quot;Imran&quot;,&quot;given&quot;:&quot;S. M.&quot;,&quot;parse-names&quot;:false,&quot;dropping-particle&quot;:&quot;&quot;,&quot;non-dropping-particle&quot;:&quot;&quot;},{&quot;family&quot;:&quot;Park&quot;,&quot;given&quot;:&quot;Sung Soo&quot;,&quot;parse-names&quot;:false,&quot;dropping-particle&quot;:&quot;&quot;,&quot;non-dropping-particle&quot;:&quot;&quot;},{&quot;family&quot;:&quot;Kim&quot;,&quot;given&quot;:&quot;Hee Taik&quot;,&quot;parse-names&quot;:false,&quot;dropping-particle&quot;:&quot;&quot;,&quot;non-dropping-particle&quot;:&quot;&quot;}],&quot;container-title&quot;:&quot;Journal of Industrial and Engineering Chemistry&quot;,&quot;DOI&quot;:&quot;10.1016/j.jiec.2016.05.015&quot;,&quot;ISSN&quot;:&quot;22345957&quot;,&quot;issued&quot;:{&quot;date-parts&quot;:[[2016,7,25]]},&quot;page&quot;:&quot;112-120&quot;,&quot;abstract&quot;:&quot;An inexpensive sol–gel technique to synthesize TiO2-Fe2O3 nanocomposites with improved structural and photochemical properties is introduced. A series of TiO2-Fe2O3 nanocomposites with different Fe2O3 contents were prepared through cheap TiO2 precursor titanium oxychloride (TiOCl2). The physicochemical properties of the samples were examined by XRD, XRF, SEM, EDX, HRTEM, UV–vis DRS, FTIR, TGA and nitrogen gas physisorption studies. The effects of calcination temperatures and Fe2O3 content on the mesostructure and photocatalytic strength of the prepared TiO2-Fe2O3 composites were investigated. Results showed that composites with distinct structural, optical and photochemical properties can be formed by varying Fe2O3 content.&quot;,&quot;publisher&quot;:&quot;Korean Society of Industrial Engineering Chemistry&quot;,&quot;volume&quot;:&quot;39&quot;,&quot;container-title-short&quot;:&quot;&quot;},&quot;isTemporary&quot;:false}]},{&quot;citationID&quot;:&quot;MENDELEY_CITATION_58caa419-dc33-4d30-bc81-9209a1056e09&quot;,&quot;properties&quot;:{&quot;noteIndex&quot;:0},&quot;isEdited&quot;:false,&quot;manualOverride&quot;:{&quot;isManuallyOverridden&quot;:false,&quot;citeprocText&quot;:&quot;(Ola, 2014)&quot;,&quot;manualOverrideText&quot;:&quot;&quot;},&quot;citationTag&quot;:&quot;MENDELEY_CITATION_v3_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&quot;,&quot;citationItems&quot;:[{&quot;id&quot;:&quot;12c9450a-d4b2-35b6-8844-54497d3f4343&quot;,&quot;itemData&quot;:{&quot;type&quot;:&quot;report&quot;,&quot;id&quot;:&quot;12c9450a-d4b2-35b6-8844-54497d3f4343&quot;,&quot;title&quot;:&quot;Effect of Metal Doping and Supports on TiO 2-based Catalysts for CO 2 Photoreduction&quot;,&quot;author&quot;:[{&quot;family&quot;:&quot;Ola&quot;,&quot;given&quot;:&quot;Oluwafunmilola&quot;,&quot;parse-names&quot;:false,&quot;dropping-particle&quot;:&quot;&quot;,&quot;non-dropping-particle&quot;:&quot;&quot;}],&quot;issued&quot;:{&quot;date-parts&quot;:[[2014]]},&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6</Pages>
  <Words>3262</Words>
  <Characters>18594</Characters>
  <Application>Microsoft Office Word</Application>
  <DocSecurity>0</DocSecurity>
  <Lines>154</Lines>
  <Paragraphs>43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21813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Domenico Rosa</cp:lastModifiedBy>
  <cp:revision>7</cp:revision>
  <cp:lastPrinted>2015-05-12T18:31:00Z</cp:lastPrinted>
  <dcterms:created xsi:type="dcterms:W3CDTF">2023-03-09T20:07:00Z</dcterms:created>
  <dcterms:modified xsi:type="dcterms:W3CDTF">2023-03-10T16:31:00Z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GrammarlyDocumentId">
    <vt:lpwstr>db3df3346552b737597d143b411ca1c5cb0a1b378fbc582e88501461fdd8c895</vt:lpwstr>
  </property>
</Properties>
</file>